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5F" w:rsidRPr="005233B0" w:rsidRDefault="00FB395F" w:rsidP="00FB395F">
      <w:pPr>
        <w:widowControl w:val="0"/>
        <w:adjustRightInd w:val="0"/>
        <w:rPr>
          <w:rFonts w:ascii="Times" w:hAnsi="Times" w:cs="Helvetica"/>
          <w:sz w:val="24"/>
          <w:szCs w:val="24"/>
        </w:rPr>
      </w:pPr>
    </w:p>
    <w:p w:rsidR="005233B0" w:rsidRPr="005233B0" w:rsidRDefault="005233B0" w:rsidP="005233B0">
      <w:pPr>
        <w:widowControl w:val="0"/>
        <w:adjustRightInd w:val="0"/>
        <w:rPr>
          <w:rFonts w:ascii="Helvetica" w:hAnsi="Helvetica" w:cs="Helvetica"/>
          <w:sz w:val="24"/>
          <w:szCs w:val="24"/>
        </w:rPr>
      </w:pPr>
    </w:p>
    <w:p w:rsidR="00723C90" w:rsidRDefault="00723C90" w:rsidP="00723C90">
      <w:pPr>
        <w:widowControl w:val="0"/>
        <w:adjustRightInd w:val="0"/>
        <w:rPr>
          <w:rFonts w:ascii="Helvetica" w:hAnsi="Helvetica" w:cs="Helvetica"/>
          <w:sz w:val="24"/>
          <w:szCs w:val="24"/>
        </w:rPr>
      </w:pPr>
      <w:r>
        <w:rPr>
          <w:rFonts w:ascii="Helvetica" w:hAnsi="Helvetica" w:cs="Helvetica"/>
          <w:b/>
          <w:bCs/>
          <w:sz w:val="24"/>
          <w:szCs w:val="24"/>
        </w:rPr>
        <w:t>Le courrier d’Edouard Philippe… un pas de côté mais pour mieux nous imposer son projet</w:t>
      </w:r>
    </w:p>
    <w:p w:rsidR="00723C90" w:rsidRDefault="00723C90" w:rsidP="00723C90">
      <w:pPr>
        <w:widowControl w:val="0"/>
        <w:adjustRightInd w:val="0"/>
        <w:rPr>
          <w:rFonts w:ascii="Helvetica" w:hAnsi="Helvetica" w:cs="Helvetica"/>
          <w:sz w:val="24"/>
          <w:szCs w:val="24"/>
        </w:rPr>
      </w:pP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Après des semaines de pas de deux avec la CFDT autour de la question de l’âge pivot, le gouvernement retire les 64 ans de son projet </w:t>
      </w:r>
      <w:r w:rsidRPr="00723C90">
        <w:rPr>
          <w:rFonts w:ascii="Times" w:hAnsi="Times" w:cs="Helvetica"/>
          <w:bCs/>
          <w:sz w:val="24"/>
          <w:szCs w:val="24"/>
        </w:rPr>
        <w:t>immédiat</w:t>
      </w:r>
      <w:r w:rsidRPr="00723C90">
        <w:rPr>
          <w:rFonts w:ascii="Times" w:hAnsi="Times" w:cs="Helvetica"/>
          <w:sz w:val="24"/>
          <w:szCs w:val="24"/>
        </w:rPr>
        <w:t>. C’est le signe de son malaise, des divisions gouvernementales, de la force de notre mouvement qui met à mal ses objectifs. </w:t>
      </w:r>
    </w:p>
    <w:p w:rsidR="00723C90" w:rsidRPr="00723C90" w:rsidRDefault="00723C90" w:rsidP="00723C90">
      <w:pPr>
        <w:widowControl w:val="0"/>
        <w:adjustRightInd w:val="0"/>
        <w:jc w:val="both"/>
        <w:rPr>
          <w:rFonts w:ascii="Times" w:hAnsi="Times" w:cs="Helvetica"/>
          <w:sz w:val="24"/>
          <w:szCs w:val="24"/>
        </w:rPr>
      </w:pPr>
    </w:p>
    <w:p w:rsidR="00723C90" w:rsidRDefault="00723C90" w:rsidP="00723C90">
      <w:pPr>
        <w:widowControl w:val="0"/>
        <w:adjustRightInd w:val="0"/>
        <w:rPr>
          <w:rFonts w:ascii="Helvetica" w:hAnsi="Helvetica" w:cs="Helvetica"/>
          <w:sz w:val="24"/>
          <w:szCs w:val="24"/>
        </w:rPr>
      </w:pPr>
      <w:r>
        <w:rPr>
          <w:rFonts w:ascii="Helvetica" w:hAnsi="Helvetica" w:cs="Helvetica"/>
          <w:b/>
          <w:bCs/>
          <w:sz w:val="24"/>
          <w:szCs w:val="24"/>
        </w:rPr>
        <w:t>Mais c’est d’abord une manœuvre</w:t>
      </w:r>
    </w:p>
    <w:p w:rsidR="00723C90" w:rsidRDefault="00723C90" w:rsidP="00723C90">
      <w:pPr>
        <w:widowControl w:val="0"/>
        <w:adjustRightInd w:val="0"/>
        <w:rPr>
          <w:rFonts w:ascii="Helvetica" w:hAnsi="Helvetica" w:cs="Helvetica"/>
          <w:sz w:val="24"/>
          <w:szCs w:val="24"/>
        </w:rPr>
      </w:pP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On est en plein faux semblant :</w:t>
      </w: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 L’âge de 64 ans est enlevé pour le moment, il reste pourtant une référence et l’âge d’équilibre est maintenu dans le projet de loi et avec lui la volonté de faire travailler plus longtemps.</w:t>
      </w: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 Une conférence aura lieu mais le contenu est d’ors et déjà verrouillé : il y aura un âge d’équilibre et il n’y aura pas d’augmentation des cotisations. </w:t>
      </w:r>
    </w:p>
    <w:p w:rsidR="00723C90" w:rsidRPr="00723C90" w:rsidRDefault="00723C90" w:rsidP="00723C90">
      <w:pPr>
        <w:widowControl w:val="0"/>
        <w:adjustRightInd w:val="0"/>
        <w:jc w:val="both"/>
        <w:rPr>
          <w:rFonts w:ascii="Times" w:hAnsi="Times" w:cs="Helvetica"/>
          <w:sz w:val="24"/>
          <w:szCs w:val="24"/>
        </w:rPr>
      </w:pP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Le gouvernement fait mine de donner la main aux « partenaires sociaux » </w:t>
      </w:r>
      <w:r w:rsidRPr="00723C90">
        <w:rPr>
          <w:rFonts w:ascii="Times" w:hAnsi="Times" w:cs="Helvetica"/>
          <w:bCs/>
          <w:sz w:val="24"/>
          <w:szCs w:val="24"/>
        </w:rPr>
        <w:t>jusqu’en avril mais il la garde</w:t>
      </w:r>
      <w:r w:rsidRPr="00723C90">
        <w:rPr>
          <w:rFonts w:ascii="Times" w:hAnsi="Times" w:cs="Helvetica"/>
          <w:sz w:val="24"/>
          <w:szCs w:val="24"/>
        </w:rPr>
        <w:t xml:space="preserve"> en dernière analyse dans le cadre inchangé du projet de retraites à points. Et</w:t>
      </w:r>
      <w:r w:rsidRPr="00723C90">
        <w:rPr>
          <w:rFonts w:ascii="Times" w:hAnsi="Times" w:cs="Helvetica"/>
          <w:bCs/>
          <w:sz w:val="24"/>
          <w:szCs w:val="24"/>
        </w:rPr>
        <w:t> il </w:t>
      </w:r>
      <w:r w:rsidRPr="00723C90">
        <w:rPr>
          <w:rFonts w:ascii="Times" w:hAnsi="Times" w:cs="Helvetica"/>
          <w:sz w:val="24"/>
          <w:szCs w:val="24"/>
        </w:rPr>
        <w:t>prévoit d’agir par ordonnances. On se souvient de la méthode utilisée lors de la négociation de l’assurance chômage où le gouvernement a pris la décision au final contre l’ensemble des syndicats, avec comme conséquence, la baisse de l’indemnisation et l’augmentation du contrôle des chômeurs et chômeuses. </w:t>
      </w:r>
    </w:p>
    <w:p w:rsidR="00723C90" w:rsidRDefault="00723C90" w:rsidP="00723C90">
      <w:pPr>
        <w:widowControl w:val="0"/>
        <w:adjustRightInd w:val="0"/>
        <w:rPr>
          <w:rFonts w:ascii="Helvetica" w:hAnsi="Helvetica" w:cs="Helvetica"/>
          <w:sz w:val="24"/>
          <w:szCs w:val="24"/>
        </w:rPr>
      </w:pPr>
    </w:p>
    <w:p w:rsidR="00723C90" w:rsidRDefault="00723C90" w:rsidP="00723C90">
      <w:pPr>
        <w:widowControl w:val="0"/>
        <w:adjustRightInd w:val="0"/>
        <w:rPr>
          <w:rFonts w:ascii="Helvetica" w:hAnsi="Helvetica" w:cs="Helvetica"/>
          <w:sz w:val="24"/>
          <w:szCs w:val="24"/>
        </w:rPr>
      </w:pPr>
      <w:r>
        <w:rPr>
          <w:rFonts w:ascii="Helvetica" w:hAnsi="Helvetica" w:cs="Helvetica"/>
          <w:b/>
          <w:bCs/>
          <w:sz w:val="24"/>
          <w:szCs w:val="24"/>
        </w:rPr>
        <w:t>La règle d’or de l’équilibre est toujours là</w:t>
      </w:r>
    </w:p>
    <w:p w:rsidR="00723C90" w:rsidRDefault="00723C90" w:rsidP="00723C90">
      <w:pPr>
        <w:widowControl w:val="0"/>
        <w:adjustRightInd w:val="0"/>
        <w:rPr>
          <w:rFonts w:ascii="Helvetica" w:hAnsi="Helvetica" w:cs="Helvetica"/>
          <w:sz w:val="24"/>
          <w:szCs w:val="24"/>
        </w:rPr>
      </w:pP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Tout cela parce que la règle d’or de l’équilibre est maintenu et constitue la contrainte majeure : 14% maximum de dépenses de retraite dans le PIB quel que soit le nombre de retraité-es. </w:t>
      </w:r>
    </w:p>
    <w:p w:rsidR="00723C90" w:rsidRPr="00723C90" w:rsidRDefault="00723C90" w:rsidP="00723C90">
      <w:pPr>
        <w:widowControl w:val="0"/>
        <w:adjustRightInd w:val="0"/>
        <w:jc w:val="both"/>
        <w:rPr>
          <w:rFonts w:ascii="Times" w:hAnsi="Times" w:cs="Helvetica"/>
          <w:sz w:val="24"/>
          <w:szCs w:val="24"/>
        </w:rPr>
      </w:pPr>
      <w:r w:rsidRPr="00723C90">
        <w:rPr>
          <w:rFonts w:ascii="Times" w:hAnsi="Times" w:cs="Helvetica"/>
          <w:sz w:val="24"/>
          <w:szCs w:val="24"/>
        </w:rPr>
        <w:t>On est donc toujours dans le même cadre : une menace contre le temps de travail et une menace sur le montant des pensions. </w:t>
      </w:r>
    </w:p>
    <w:p w:rsidR="00723C90" w:rsidRPr="00723C90" w:rsidRDefault="00723C90" w:rsidP="00723C90">
      <w:pPr>
        <w:widowControl w:val="0"/>
        <w:adjustRightInd w:val="0"/>
        <w:jc w:val="both"/>
        <w:rPr>
          <w:rFonts w:ascii="Times" w:hAnsi="Times" w:cs="Helvetica"/>
          <w:sz w:val="24"/>
          <w:szCs w:val="24"/>
        </w:rPr>
      </w:pPr>
    </w:p>
    <w:p w:rsidR="006049E6" w:rsidRPr="00723C90" w:rsidRDefault="00723C90" w:rsidP="00723C90">
      <w:pPr>
        <w:widowControl w:val="0"/>
        <w:adjustRightInd w:val="0"/>
        <w:jc w:val="both"/>
        <w:rPr>
          <w:rFonts w:ascii="Times" w:hAnsi="Times" w:cs="Helvetica"/>
          <w:sz w:val="22"/>
          <w:szCs w:val="24"/>
        </w:rPr>
      </w:pPr>
      <w:r w:rsidRPr="00723C90">
        <w:rPr>
          <w:rFonts w:ascii="Times" w:hAnsi="Times" w:cs="Helvetica"/>
          <w:sz w:val="24"/>
          <w:szCs w:val="24"/>
        </w:rPr>
        <w:t xml:space="preserve">Les </w:t>
      </w:r>
      <w:r w:rsidR="000B1A57">
        <w:rPr>
          <w:rFonts w:ascii="Times" w:hAnsi="Times" w:cs="Helvetica"/>
          <w:sz w:val="24"/>
          <w:szCs w:val="24"/>
        </w:rPr>
        <w:t xml:space="preserve">centaines de </w:t>
      </w:r>
      <w:r w:rsidRPr="00723C90">
        <w:rPr>
          <w:rFonts w:ascii="Times" w:hAnsi="Times" w:cs="Helvetica"/>
          <w:sz w:val="24"/>
          <w:szCs w:val="24"/>
        </w:rPr>
        <w:t>milliers de grévistes et de manifestant-es depuis le 5 décembre ne se laisseront pas abuser. Les journées des 14, 15 et 16 janvier </w:t>
      </w:r>
      <w:r w:rsidRPr="00723C90">
        <w:rPr>
          <w:rFonts w:ascii="Times" w:hAnsi="Times" w:cs="Helvetica"/>
          <w:bCs/>
          <w:sz w:val="24"/>
          <w:szCs w:val="24"/>
        </w:rPr>
        <w:t>proposées par l’intersyndicale</w:t>
      </w:r>
      <w:r w:rsidRPr="00723C90">
        <w:rPr>
          <w:rFonts w:ascii="Times" w:hAnsi="Times" w:cs="Helvetica"/>
          <w:sz w:val="24"/>
          <w:szCs w:val="24"/>
        </w:rPr>
        <w:t> seront l’occasion de le montrer et de renforcer encore la grève reconductible et les manifestations</w:t>
      </w:r>
      <w:r w:rsidR="004D5102">
        <w:rPr>
          <w:rFonts w:ascii="Times" w:hAnsi="Times" w:cs="Helvetica"/>
          <w:sz w:val="24"/>
          <w:szCs w:val="24"/>
        </w:rPr>
        <w:t xml:space="preserve"> pour le retrait</w:t>
      </w:r>
      <w:r w:rsidRPr="00723C90">
        <w:rPr>
          <w:rFonts w:ascii="Times" w:hAnsi="Times" w:cs="Helvetica"/>
          <w:sz w:val="24"/>
          <w:szCs w:val="24"/>
        </w:rPr>
        <w:t>.</w:t>
      </w:r>
    </w:p>
    <w:sectPr w:rsidR="006049E6" w:rsidRPr="00723C90"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A4C" w:rsidRDefault="00780A4C">
      <w:r>
        <w:separator/>
      </w:r>
    </w:p>
  </w:endnote>
  <w:endnote w:type="continuationSeparator" w:id="0">
    <w:p w:rsidR="00780A4C" w:rsidRDefault="00780A4C">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charset w:val="00"/>
    <w:family w:val="auto"/>
    <w:pitch w:val="variable"/>
    <w:sig w:usb0="00000000" w:usb1="00000000" w:usb2="00000000" w:usb3="00000000" w:csb0="00000000" w:csb1="00000000"/>
  </w:font>
  <w:font w:name="Mangal">
    <w:panose1 w:val="00000000000000000000"/>
    <w:charset w:val="00"/>
    <w:family w:val="roman"/>
    <w:notTrueType/>
    <w:pitch w:val="variable"/>
    <w:sig w:usb0="00000003" w:usb1="08070000" w:usb2="00000010" w:usb3="00000000" w:csb0="00020001" w:csb1="00000000"/>
  </w:font>
  <w:font w:name="Tahoma">
    <w:panose1 w:val="020B0604030504040204"/>
    <w:charset w:val="00"/>
    <w:family w:val="auto"/>
    <w:pitch w:val="variable"/>
    <w:sig w:usb0="03000000"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4C" w:rsidRDefault="00780A4C" w:rsidP="003A5F60">
    <w:pPr>
      <w:jc w:val="right"/>
      <w:rPr>
        <w:sz w:val="24"/>
        <w:szCs w:val="24"/>
      </w:rPr>
    </w:pPr>
  </w:p>
  <w:p w:rsidR="00780A4C" w:rsidRDefault="00780A4C">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3260"/>
      <w:gridCol w:w="2835"/>
      <w:gridCol w:w="1559"/>
    </w:tblGrid>
    <w:tr w:rsidR="00780A4C" w:rsidRPr="007A49EC">
      <w:trPr>
        <w:trHeight w:val="1127"/>
      </w:trPr>
      <w:tc>
        <w:tcPr>
          <w:tcW w:w="2552" w:type="dxa"/>
          <w:tcBorders>
            <w:right w:val="single" w:sz="4" w:space="0" w:color="auto"/>
          </w:tcBorders>
        </w:tcPr>
        <w:p w:rsidR="00780A4C" w:rsidRPr="00E662B4" w:rsidRDefault="00780A4C" w:rsidP="003A5F60">
          <w:pPr>
            <w:jc w:val="center"/>
            <w:rPr>
              <w:rFonts w:ascii="Arial Black" w:hAnsi="Arial Black" w:cs="Arial"/>
            </w:rPr>
          </w:pPr>
        </w:p>
        <w:p w:rsidR="00780A4C" w:rsidRPr="004E7B3F" w:rsidRDefault="00780A4C" w:rsidP="003A5F60">
          <w:pPr>
            <w:jc w:val="center"/>
            <w:rPr>
              <w:rFonts w:ascii="Arial Black" w:hAnsi="Arial Black" w:cs="Arial"/>
              <w:b/>
            </w:rPr>
          </w:pPr>
          <w:r>
            <w:rPr>
              <w:rFonts w:ascii="Arial Black" w:hAnsi="Arial Black" w:cs="Arial"/>
              <w:b/>
            </w:rPr>
            <w:t>31 rue de la Grange aux belles</w:t>
          </w:r>
        </w:p>
        <w:p w:rsidR="00780A4C" w:rsidRPr="004E7B3F" w:rsidRDefault="00780A4C"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780A4C" w:rsidRPr="00E662B4" w:rsidRDefault="00780A4C" w:rsidP="003A5F60">
          <w:pPr>
            <w:jc w:val="center"/>
            <w:rPr>
              <w:rFonts w:ascii="Arial Black" w:hAnsi="Arial Black" w:cs="Arial"/>
              <w:b/>
            </w:rPr>
          </w:pPr>
        </w:p>
      </w:tc>
      <w:tc>
        <w:tcPr>
          <w:tcW w:w="3260" w:type="dxa"/>
          <w:tcBorders>
            <w:left w:val="single" w:sz="4" w:space="0" w:color="auto"/>
            <w:right w:val="single" w:sz="4" w:space="0" w:color="auto"/>
          </w:tcBorders>
        </w:tcPr>
        <w:p w:rsidR="00780A4C" w:rsidRPr="00E662B4" w:rsidRDefault="00780A4C" w:rsidP="003A5F60">
          <w:pPr>
            <w:rPr>
              <w:rFonts w:ascii="Arial Black" w:hAnsi="Arial Black" w:cs="Arial Black"/>
              <w:snapToGrid w:val="0"/>
            </w:rPr>
          </w:pPr>
        </w:p>
        <w:p w:rsidR="00780A4C" w:rsidRPr="004E7B3F" w:rsidRDefault="00780A4C"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rsidR="00780A4C" w:rsidRPr="004E7B3F" w:rsidRDefault="00780A4C"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rsidR="00780A4C" w:rsidRPr="00E662B4" w:rsidRDefault="00780A4C">
          <w:pPr>
            <w:jc w:val="center"/>
            <w:rPr>
              <w:rFonts w:ascii="Arial Black" w:hAnsi="Arial Black" w:cs="Arial Black"/>
            </w:rPr>
          </w:pPr>
        </w:p>
      </w:tc>
      <w:tc>
        <w:tcPr>
          <w:tcW w:w="2835" w:type="dxa"/>
          <w:tcBorders>
            <w:left w:val="single" w:sz="4" w:space="0" w:color="auto"/>
            <w:right w:val="single" w:sz="4" w:space="0" w:color="auto"/>
          </w:tcBorders>
        </w:tcPr>
        <w:p w:rsidR="00780A4C" w:rsidRPr="00E662B4" w:rsidRDefault="00780A4C">
          <w:pPr>
            <w:jc w:val="center"/>
            <w:rPr>
              <w:rFonts w:ascii="Arial Black" w:hAnsi="Arial Black" w:cs="Arial Black"/>
            </w:rPr>
          </w:pPr>
        </w:p>
        <w:p w:rsidR="00780A4C" w:rsidRPr="004E7B3F" w:rsidRDefault="00780A4C"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780A4C" w:rsidRPr="00E662B4" w:rsidRDefault="00780A4C">
          <w:pPr>
            <w:jc w:val="center"/>
            <w:rPr>
              <w:rFonts w:ascii="Arial Black" w:hAnsi="Arial Black" w:cs="Arial Black"/>
            </w:rPr>
          </w:pPr>
        </w:p>
      </w:tc>
      <w:tc>
        <w:tcPr>
          <w:tcW w:w="1559" w:type="dxa"/>
          <w:tcBorders>
            <w:top w:val="nil"/>
            <w:left w:val="single" w:sz="4" w:space="0" w:color="auto"/>
            <w:bottom w:val="nil"/>
            <w:right w:val="nil"/>
          </w:tcBorders>
        </w:tcPr>
        <w:p w:rsidR="00780A4C" w:rsidRPr="00E662B4" w:rsidRDefault="00780A4C" w:rsidP="003A5F60">
          <w:pPr>
            <w:ind w:left="200"/>
            <w:jc w:val="right"/>
            <w:rPr>
              <w:rFonts w:ascii="Arial Black" w:hAnsi="Arial Black" w:cs="Arial Black"/>
            </w:rPr>
          </w:pPr>
          <w:r>
            <w:rPr>
              <w:noProof/>
              <w:sz w:val="24"/>
              <w:szCs w:val="24"/>
            </w:rPr>
            <w:drawing>
              <wp:inline distT="0" distB="0" distL="0" distR="0">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780A4C" w:rsidRPr="007A49EC" w:rsidRDefault="00780A4C" w:rsidP="003A5F60">
    <w:pPr>
      <w:jc w:val="right"/>
      <w:rPr>
        <w:sz w:val="22"/>
        <w:szCs w:val="22"/>
      </w:rPr>
    </w:pPr>
  </w:p>
  <w:p w:rsidR="00780A4C" w:rsidRDefault="00780A4C">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A4C" w:rsidRDefault="00780A4C">
      <w:r>
        <w:separator/>
      </w:r>
    </w:p>
  </w:footnote>
  <w:footnote w:type="continuationSeparator" w:id="0">
    <w:p w:rsidR="00780A4C" w:rsidRDefault="00780A4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4C" w:rsidRDefault="00780A4C">
    <w:pPr>
      <w:pStyle w:val="En-tte"/>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819400" cy="1303020"/>
                  </a:xfrm>
                  <a:prstGeom prst="rect">
                    <a:avLst/>
                  </a:prstGeom>
                  <a:noFill/>
                  <a:ln>
                    <a:noFill/>
                  </a:ln>
                </pic:spPr>
              </pic:pic>
            </a:graphicData>
          </a:graphic>
        </wp:anchor>
      </w:drawing>
    </w:r>
  </w:p>
  <w:p w:rsidR="00780A4C" w:rsidRDefault="00780A4C">
    <w:pPr>
      <w:pStyle w:val="En-tte"/>
    </w:pPr>
  </w:p>
  <w:p w:rsidR="00780A4C" w:rsidRDefault="00780A4C">
    <w:pPr>
      <w:pStyle w:val="En-tte"/>
    </w:pPr>
  </w:p>
  <w:p w:rsidR="00780A4C" w:rsidRDefault="00780A4C">
    <w:pPr>
      <w:pStyle w:val="En-tte"/>
    </w:pPr>
  </w:p>
  <w:p w:rsidR="00780A4C" w:rsidRDefault="00780A4C">
    <w:pPr>
      <w:pStyle w:val="En-tte"/>
      <w:rPr>
        <w:sz w:val="12"/>
        <w:szCs w:val="12"/>
      </w:rPr>
    </w:pPr>
  </w:p>
  <w:p w:rsidR="00780A4C" w:rsidRPr="003F15E0" w:rsidRDefault="00780A4C" w:rsidP="003A5F60">
    <w:pPr>
      <w:jc w:val="right"/>
      <w:rPr>
        <w:sz w:val="24"/>
        <w:szCs w:val="40"/>
      </w:rPr>
    </w:pPr>
    <w:r w:rsidRPr="003F15E0">
      <w:rPr>
        <w:sz w:val="24"/>
        <w:szCs w:val="40"/>
      </w:rPr>
      <w:t xml:space="preserve">Paris le </w:t>
    </w:r>
    <w:r w:rsidR="00723C90">
      <w:rPr>
        <w:sz w:val="24"/>
        <w:szCs w:val="40"/>
      </w:rPr>
      <w:t xml:space="preserve">11 </w:t>
    </w:r>
    <w:r w:rsidR="00FB395F">
      <w:rPr>
        <w:sz w:val="24"/>
        <w:szCs w:val="40"/>
      </w:rPr>
      <w:t>janvier</w:t>
    </w:r>
    <w:r>
      <w:rPr>
        <w:sz w:val="24"/>
        <w:szCs w:val="40"/>
      </w:rPr>
      <w:t xml:space="preserve"> </w:t>
    </w:r>
    <w:r w:rsidRPr="003F15E0">
      <w:rPr>
        <w:sz w:val="24"/>
        <w:szCs w:val="40"/>
      </w:rPr>
      <w:t>20</w:t>
    </w:r>
    <w:r w:rsidR="00FB395F">
      <w:rPr>
        <w:sz w:val="24"/>
        <w:szCs w:val="40"/>
      </w:rPr>
      <w:t>20</w:t>
    </w:r>
  </w:p>
  <w:p w:rsidR="00780A4C" w:rsidRDefault="00DC1C83">
    <w:pPr>
      <w:pStyle w:val="En-tte"/>
    </w:pPr>
    <w:r>
      <w:rPr>
        <w:noProof/>
      </w:rPr>
      <w:pict>
        <v:line id="Line 2" o:spid="_x0000_s409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" o:allowincell="f" strokeweight="2pt"/>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oNotTrackMoves/>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9866AC"/>
    <w:rsid w:val="000139BD"/>
    <w:rsid w:val="0002558B"/>
    <w:rsid w:val="000B1A57"/>
    <w:rsid w:val="000C5289"/>
    <w:rsid w:val="000C63B9"/>
    <w:rsid w:val="001A1137"/>
    <w:rsid w:val="001A550E"/>
    <w:rsid w:val="00235214"/>
    <w:rsid w:val="00285F51"/>
    <w:rsid w:val="002C17FC"/>
    <w:rsid w:val="002D5E41"/>
    <w:rsid w:val="002E6334"/>
    <w:rsid w:val="00303F3F"/>
    <w:rsid w:val="00312238"/>
    <w:rsid w:val="0031256E"/>
    <w:rsid w:val="003A5F60"/>
    <w:rsid w:val="004445D7"/>
    <w:rsid w:val="00482EC8"/>
    <w:rsid w:val="004A2B15"/>
    <w:rsid w:val="004D5102"/>
    <w:rsid w:val="0050144C"/>
    <w:rsid w:val="005233B0"/>
    <w:rsid w:val="0059336F"/>
    <w:rsid w:val="006022C7"/>
    <w:rsid w:val="006049E6"/>
    <w:rsid w:val="006107D6"/>
    <w:rsid w:val="00692CFD"/>
    <w:rsid w:val="006A71EC"/>
    <w:rsid w:val="006B134F"/>
    <w:rsid w:val="006C0BAA"/>
    <w:rsid w:val="006F6861"/>
    <w:rsid w:val="00720CD3"/>
    <w:rsid w:val="007214E6"/>
    <w:rsid w:val="00723C90"/>
    <w:rsid w:val="00780A4C"/>
    <w:rsid w:val="007E1DFD"/>
    <w:rsid w:val="008B59B7"/>
    <w:rsid w:val="008F3669"/>
    <w:rsid w:val="00912420"/>
    <w:rsid w:val="009805A8"/>
    <w:rsid w:val="0098648E"/>
    <w:rsid w:val="009866AC"/>
    <w:rsid w:val="009C7CEA"/>
    <w:rsid w:val="009E2C6D"/>
    <w:rsid w:val="009E34E4"/>
    <w:rsid w:val="00AB1693"/>
    <w:rsid w:val="00AD460D"/>
    <w:rsid w:val="00B11CA1"/>
    <w:rsid w:val="00B827BC"/>
    <w:rsid w:val="00C71560"/>
    <w:rsid w:val="00D67199"/>
    <w:rsid w:val="00DA0858"/>
    <w:rsid w:val="00DA20E7"/>
    <w:rsid w:val="00DB7968"/>
    <w:rsid w:val="00DC1C83"/>
    <w:rsid w:val="00E534D6"/>
    <w:rsid w:val="00E56525"/>
    <w:rsid w:val="00EA4A64"/>
    <w:rsid w:val="00EA7463"/>
    <w:rsid w:val="00EE4591"/>
    <w:rsid w:val="00F06EF4"/>
    <w:rsid w:val="00F37B9C"/>
    <w:rsid w:val="00F94DD3"/>
    <w:rsid w:val="00FB395F"/>
  </w:rsids>
  <m:mathPr>
    <m:mathFont m:val="Trebuchet MS"/>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B11CA1"/>
    <w:pPr>
      <w:autoSpaceDE w:val="0"/>
      <w:autoSpaceDN w:val="0"/>
    </w:pPr>
  </w:style>
  <w:style w:type="paragraph" w:styleId="Titre1">
    <w:name w:val="heading 1"/>
    <w:basedOn w:val="Normal"/>
    <w:next w:val="Normal"/>
    <w:link w:val="Titre1Car"/>
    <w:uiPriority w:val="9"/>
    <w:qFormat/>
    <w:rsid w:val="00B11CA1"/>
    <w:pPr>
      <w:keepNext/>
      <w:jc w:val="right"/>
      <w:outlineLvl w:val="0"/>
    </w:pPr>
    <w:rPr>
      <w:rFonts w:ascii="Cambria" w:hAnsi="Cambria"/>
      <w:b/>
      <w:bCs/>
      <w:kern w:val="32"/>
      <w:sz w:val="32"/>
      <w:szCs w:val="3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link w:val="Titre1"/>
    <w:uiPriority w:val="9"/>
    <w:locked/>
    <w:rsid w:val="00B11CA1"/>
    <w:rPr>
      <w:rFonts w:ascii="Cambria" w:eastAsia="Times New Roman" w:hAnsi="Cambria" w:cs="Times New Roman"/>
      <w:b/>
      <w:bCs/>
      <w:kern w:val="32"/>
      <w:sz w:val="32"/>
      <w:szCs w:val="32"/>
    </w:rPr>
  </w:style>
  <w:style w:type="paragraph" w:styleId="En-tte">
    <w:name w:val="header"/>
    <w:basedOn w:val="Normal"/>
    <w:link w:val="En-tteCar"/>
    <w:rsid w:val="00B11CA1"/>
    <w:pPr>
      <w:tabs>
        <w:tab w:val="center" w:pos="4536"/>
        <w:tab w:val="right" w:pos="9072"/>
      </w:tabs>
    </w:pPr>
  </w:style>
  <w:style w:type="paragraph" w:styleId="Pieddepage">
    <w:name w:val="footer"/>
    <w:basedOn w:val="Normal"/>
    <w:link w:val="PieddepageCar"/>
    <w:uiPriority w:val="99"/>
    <w:rsid w:val="00B11CA1"/>
    <w:pPr>
      <w:tabs>
        <w:tab w:val="center" w:pos="4536"/>
        <w:tab w:val="right" w:pos="9072"/>
      </w:tabs>
    </w:pPr>
  </w:style>
  <w:style w:type="character" w:customStyle="1" w:styleId="En-tteCar">
    <w:name w:val="En-tête Car"/>
    <w:link w:val="En-tte"/>
    <w:locked/>
    <w:rsid w:val="00B11CA1"/>
    <w:rPr>
      <w:rFonts w:cs="Times New Roman"/>
      <w:sz w:val="20"/>
      <w:szCs w:val="20"/>
    </w:rPr>
  </w:style>
  <w:style w:type="character" w:customStyle="1" w:styleId="PieddepageCar">
    <w:name w:val="Pied de page Car"/>
    <w:link w:val="Pieddepage"/>
    <w:uiPriority w:val="99"/>
    <w:semiHidden/>
    <w:locked/>
    <w:rsid w:val="00B11CA1"/>
    <w:rPr>
      <w:rFonts w:cs="Times New Roman"/>
      <w:sz w:val="20"/>
      <w:szCs w:val="20"/>
    </w:rPr>
  </w:style>
  <w:style w:type="character" w:styleId="Numrodepage">
    <w:name w:val="page number"/>
    <w:uiPriority w:val="99"/>
    <w:rsid w:val="00B11CA1"/>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UnresolvedMention">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UnresolvedMention">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r="http://schemas.openxmlformats.org/officeDocument/2006/relationships" xmlns:w="http://schemas.openxmlformats.org/wordprocessingml/2006/main">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870462719">
      <w:bodyDiv w:val="1"/>
      <w:marLeft w:val="0"/>
      <w:marRight w:val="0"/>
      <w:marTop w:val="0"/>
      <w:marBottom w:val="0"/>
      <w:divBdr>
        <w:top w:val="none" w:sz="0" w:space="0" w:color="auto"/>
        <w:left w:val="none" w:sz="0" w:space="0" w:color="auto"/>
        <w:bottom w:val="none" w:sz="0" w:space="0" w:color="auto"/>
        <w:right w:val="none" w:sz="0" w:space="0" w:color="auto"/>
      </w:divBdr>
      <w:divsChild>
        <w:div w:id="74403858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71927597">
              <w:marLeft w:val="0"/>
              <w:marRight w:val="0"/>
              <w:marTop w:val="0"/>
              <w:marBottom w:val="0"/>
              <w:divBdr>
                <w:top w:val="none" w:sz="0" w:space="0" w:color="auto"/>
                <w:left w:val="none" w:sz="0" w:space="0" w:color="auto"/>
                <w:bottom w:val="none" w:sz="0" w:space="0" w:color="auto"/>
                <w:right w:val="none" w:sz="0" w:space="0" w:color="auto"/>
              </w:divBdr>
              <w:divsChild>
                <w:div w:id="1113473762">
                  <w:marLeft w:val="0"/>
                  <w:marRight w:val="0"/>
                  <w:marTop w:val="0"/>
                  <w:marBottom w:val="0"/>
                  <w:divBdr>
                    <w:top w:val="none" w:sz="0" w:space="0" w:color="auto"/>
                    <w:left w:val="none" w:sz="0" w:space="0" w:color="auto"/>
                    <w:bottom w:val="none" w:sz="0" w:space="0" w:color="auto"/>
                    <w:right w:val="none" w:sz="0" w:space="0" w:color="auto"/>
                  </w:divBdr>
                  <w:divsChild>
                    <w:div w:id="633675843">
                      <w:marLeft w:val="0"/>
                      <w:marRight w:val="0"/>
                      <w:marTop w:val="0"/>
                      <w:marBottom w:val="0"/>
                      <w:divBdr>
                        <w:top w:val="none" w:sz="0" w:space="0" w:color="auto"/>
                        <w:left w:val="none" w:sz="0" w:space="0" w:color="auto"/>
                        <w:bottom w:val="none" w:sz="0" w:space="0" w:color="auto"/>
                        <w:right w:val="none" w:sz="0" w:space="0" w:color="auto"/>
                      </w:divBdr>
                      <w:divsChild>
                        <w:div w:id="916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19518071">
      <w:bodyDiv w:val="1"/>
      <w:marLeft w:val="0"/>
      <w:marRight w:val="0"/>
      <w:marTop w:val="0"/>
      <w:marBottom w:val="0"/>
      <w:divBdr>
        <w:top w:val="none" w:sz="0" w:space="0" w:color="auto"/>
        <w:left w:val="none" w:sz="0" w:space="0" w:color="auto"/>
        <w:bottom w:val="none" w:sz="0" w:space="0" w:color="auto"/>
        <w:right w:val="none" w:sz="0" w:space="0" w:color="auto"/>
      </w:divBdr>
      <w:divsChild>
        <w:div w:id="2848514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22186643">
              <w:marLeft w:val="0"/>
              <w:marRight w:val="0"/>
              <w:marTop w:val="0"/>
              <w:marBottom w:val="0"/>
              <w:divBdr>
                <w:top w:val="none" w:sz="0" w:space="0" w:color="auto"/>
                <w:left w:val="none" w:sz="0" w:space="0" w:color="auto"/>
                <w:bottom w:val="none" w:sz="0" w:space="0" w:color="auto"/>
                <w:right w:val="none" w:sz="0" w:space="0" w:color="auto"/>
              </w:divBdr>
              <w:divsChild>
                <w:div w:id="848330106">
                  <w:marLeft w:val="0"/>
                  <w:marRight w:val="0"/>
                  <w:marTop w:val="0"/>
                  <w:marBottom w:val="0"/>
                  <w:divBdr>
                    <w:top w:val="none" w:sz="0" w:space="0" w:color="auto"/>
                    <w:left w:val="none" w:sz="0" w:space="0" w:color="auto"/>
                    <w:bottom w:val="none" w:sz="0" w:space="0" w:color="auto"/>
                    <w:right w:val="none" w:sz="0" w:space="0" w:color="auto"/>
                  </w:divBdr>
                  <w:divsChild>
                    <w:div w:id="2090929891">
                      <w:marLeft w:val="0"/>
                      <w:marRight w:val="0"/>
                      <w:marTop w:val="0"/>
                      <w:marBottom w:val="0"/>
                      <w:divBdr>
                        <w:top w:val="none" w:sz="0" w:space="0" w:color="auto"/>
                        <w:left w:val="none" w:sz="0" w:space="0" w:color="auto"/>
                        <w:bottom w:val="none" w:sz="0" w:space="0" w:color="auto"/>
                        <w:right w:val="none" w:sz="0" w:space="0" w:color="auto"/>
                      </w:divBdr>
                      <w:divsChild>
                        <w:div w:id="541216119">
                          <w:marLeft w:val="0"/>
                          <w:marRight w:val="0"/>
                          <w:marTop w:val="0"/>
                          <w:marBottom w:val="0"/>
                          <w:divBdr>
                            <w:top w:val="none" w:sz="0" w:space="0" w:color="auto"/>
                            <w:left w:val="none" w:sz="0" w:space="0" w:color="auto"/>
                            <w:bottom w:val="none" w:sz="0" w:space="0" w:color="auto"/>
                            <w:right w:val="none" w:sz="0" w:space="0" w:color="auto"/>
                          </w:divBdr>
                          <w:divsChild>
                            <w:div w:id="1227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1572</Characters>
  <Application>Microsoft Macintosh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1930</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creator>Microsoft Office User</dc:creator>
  <cp:lastModifiedBy>Thierry Lescant</cp:lastModifiedBy>
  <cp:revision>4</cp:revision>
  <cp:lastPrinted>2020-01-11T17:55:00Z</cp:lastPrinted>
  <dcterms:created xsi:type="dcterms:W3CDTF">2020-01-11T17:54:00Z</dcterms:created>
  <dcterms:modified xsi:type="dcterms:W3CDTF">2020-01-11T18:03:00Z</dcterms:modified>
</cp:coreProperties>
</file>