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DD3" w:rsidRPr="006C0BAA" w:rsidRDefault="00F94DD3" w:rsidP="003A5F60">
      <w:pPr>
        <w:autoSpaceDE/>
        <w:autoSpaceDN/>
        <w:spacing w:beforeLines="1" w:before="2"/>
        <w:jc w:val="both"/>
        <w:rPr>
          <w:rFonts w:ascii="Arial Black" w:hAnsi="Arial Black"/>
          <w:b/>
          <w:bCs/>
          <w:sz w:val="24"/>
          <w:szCs w:val="24"/>
        </w:rPr>
      </w:pPr>
    </w:p>
    <w:p w:rsidR="00662DED" w:rsidRPr="00662DED" w:rsidRDefault="00662DED" w:rsidP="00662DED">
      <w:pPr>
        <w:pStyle w:val="Standard"/>
        <w:jc w:val="center"/>
        <w:rPr>
          <w:rFonts w:ascii="Arial Black" w:eastAsia="Scotchlidaires" w:hAnsi="Arial Black" w:cs="Arial"/>
          <w:color w:val="000000"/>
          <w:sz w:val="32"/>
          <w:szCs w:val="32"/>
        </w:rPr>
      </w:pPr>
      <w:r w:rsidRPr="00662DED">
        <w:rPr>
          <w:rFonts w:ascii="Arial Black" w:eastAsia="Scotchlidaires" w:hAnsi="Arial Black" w:cs="Arial"/>
          <w:color w:val="000000"/>
          <w:sz w:val="32"/>
          <w:szCs w:val="32"/>
        </w:rPr>
        <w:t xml:space="preserve">Réforme de l’Assurance Chômage : </w:t>
      </w:r>
    </w:p>
    <w:p w:rsidR="00662DED" w:rsidRPr="00662DED" w:rsidRDefault="00662DED" w:rsidP="00662DED">
      <w:pPr>
        <w:pStyle w:val="Standard"/>
        <w:jc w:val="center"/>
        <w:rPr>
          <w:rFonts w:ascii="Arial Black" w:eastAsia="Scotchlidaires" w:hAnsi="Arial Black" w:cs="Arial"/>
          <w:sz w:val="32"/>
          <w:szCs w:val="32"/>
        </w:rPr>
      </w:pPr>
      <w:proofErr w:type="gramStart"/>
      <w:r w:rsidRPr="00662DED">
        <w:rPr>
          <w:rFonts w:ascii="Arial Black" w:eastAsia="Scotchlidaires" w:hAnsi="Arial Black" w:cs="Arial"/>
          <w:color w:val="000000"/>
          <w:sz w:val="32"/>
          <w:szCs w:val="32"/>
        </w:rPr>
        <w:t>le</w:t>
      </w:r>
      <w:proofErr w:type="gramEnd"/>
      <w:r w:rsidRPr="00662DED">
        <w:rPr>
          <w:rFonts w:ascii="Arial Black" w:eastAsia="Scotchlidaires" w:hAnsi="Arial Black" w:cs="Arial"/>
          <w:color w:val="000000"/>
          <w:sz w:val="32"/>
          <w:szCs w:val="32"/>
        </w:rPr>
        <w:t xml:space="preserve"> gouvernement trouve des bénéficiaires…</w:t>
      </w:r>
    </w:p>
    <w:p w:rsidR="00662DED" w:rsidRPr="00662DED" w:rsidRDefault="00662DED" w:rsidP="00662DED">
      <w:pPr>
        <w:pStyle w:val="Standard"/>
        <w:jc w:val="both"/>
        <w:rPr>
          <w:rFonts w:ascii="Times" w:hAnsi="Times" w:cs="Tahoma"/>
          <w:sz w:val="22"/>
          <w:szCs w:val="22"/>
        </w:rPr>
      </w:pPr>
    </w:p>
    <w:p w:rsidR="00662DED" w:rsidRPr="00662DED" w:rsidRDefault="00662DED" w:rsidP="00662DED">
      <w:pPr>
        <w:pStyle w:val="Standard"/>
        <w:jc w:val="both"/>
        <w:rPr>
          <w:rFonts w:ascii="Times" w:hAnsi="Times" w:cs="Tahoma"/>
          <w:sz w:val="22"/>
          <w:szCs w:val="22"/>
        </w:rPr>
      </w:pPr>
    </w:p>
    <w:p w:rsidR="00662DED" w:rsidRPr="00662DED" w:rsidRDefault="00662DED" w:rsidP="00662DED">
      <w:pPr>
        <w:pStyle w:val="Standard"/>
        <w:jc w:val="both"/>
        <w:rPr>
          <w:rFonts w:ascii="Times" w:hAnsi="Times"/>
        </w:rPr>
      </w:pPr>
      <w:r w:rsidRPr="00662DED">
        <w:rPr>
          <w:rFonts w:ascii="Times" w:hAnsi="Times" w:cs="Tahoma"/>
        </w:rPr>
        <w:t>Voilà plus d’une semaine qu’ils et elles se succèdent dans les différents médias pour vanter les mérites de leur réforme. « De nouveaux droits sont créés ! » L’argument est bien maigre face au cataclysme que vont engendrer les nouvelles mesures liées à l’indemnisation du chômage.</w:t>
      </w:r>
    </w:p>
    <w:p w:rsidR="00662DED" w:rsidRPr="00662DED" w:rsidRDefault="00662DED" w:rsidP="00662DED">
      <w:pPr>
        <w:pStyle w:val="Standard"/>
        <w:jc w:val="both"/>
        <w:rPr>
          <w:rFonts w:ascii="Times" w:hAnsi="Times" w:cs="Tahoma"/>
        </w:rPr>
      </w:pPr>
    </w:p>
    <w:p w:rsidR="00662DED" w:rsidRPr="00662DED" w:rsidRDefault="00662DED" w:rsidP="00662DED">
      <w:pPr>
        <w:pStyle w:val="Standard"/>
        <w:rPr>
          <w:rFonts w:ascii="Arial Black" w:hAnsi="Arial Black"/>
          <w:b/>
          <w:bCs/>
        </w:rPr>
      </w:pPr>
      <w:r w:rsidRPr="00662DED">
        <w:rPr>
          <w:rFonts w:ascii="Arial Black" w:hAnsi="Arial Black" w:cs="Tahoma"/>
          <w:b/>
          <w:bCs/>
          <w:color w:val="000000"/>
        </w:rPr>
        <w:t>60 000 bénéficiaires avec de nouveaux droits ?</w:t>
      </w:r>
    </w:p>
    <w:p w:rsidR="00662DED" w:rsidRPr="00662DED" w:rsidRDefault="00662DED" w:rsidP="00662DED">
      <w:pPr>
        <w:pStyle w:val="Standard"/>
        <w:jc w:val="both"/>
        <w:rPr>
          <w:rFonts w:ascii="Times" w:hAnsi="Times" w:cs="Tahoma"/>
        </w:rPr>
      </w:pPr>
    </w:p>
    <w:p w:rsidR="00662DED" w:rsidRPr="00662DED" w:rsidRDefault="00662DED" w:rsidP="00662DED">
      <w:pPr>
        <w:pStyle w:val="Standard"/>
        <w:jc w:val="both"/>
        <w:rPr>
          <w:rFonts w:ascii="Times" w:hAnsi="Times"/>
        </w:rPr>
      </w:pPr>
      <w:r w:rsidRPr="00662DED">
        <w:rPr>
          <w:rFonts w:ascii="Times" w:hAnsi="Times" w:cs="Tahoma"/>
        </w:rPr>
        <w:t xml:space="preserve">L’étude d’impact réalisée dans le cadre de la Loi pour la Liberté de choisir son avenir professionnel en avril 2018 estimait le nombre de bénéficiaires de ces nouveaux droits à 60 000 tout au plus : 17 000 à 30 000 pour les démissionnaires et 29 300 pour </w:t>
      </w:r>
      <w:proofErr w:type="gramStart"/>
      <w:r w:rsidRPr="00662DED">
        <w:rPr>
          <w:rFonts w:ascii="Times" w:hAnsi="Times" w:cs="Tahoma"/>
        </w:rPr>
        <w:t xml:space="preserve">les </w:t>
      </w:r>
      <w:proofErr w:type="spellStart"/>
      <w:r w:rsidRPr="00662DED">
        <w:rPr>
          <w:rFonts w:ascii="Times" w:hAnsi="Times" w:cs="Tahoma"/>
        </w:rPr>
        <w:t>travailleur</w:t>
      </w:r>
      <w:proofErr w:type="gramEnd"/>
      <w:r w:rsidRPr="00662DED">
        <w:rPr>
          <w:rFonts w:ascii="Times" w:hAnsi="Times" w:cs="Tahoma"/>
        </w:rPr>
        <w:t>·euses</w:t>
      </w:r>
      <w:proofErr w:type="spellEnd"/>
      <w:r w:rsidRPr="00662DED">
        <w:rPr>
          <w:rFonts w:ascii="Times" w:hAnsi="Times" w:cs="Tahoma"/>
        </w:rPr>
        <w:t xml:space="preserve"> </w:t>
      </w:r>
      <w:proofErr w:type="spellStart"/>
      <w:r w:rsidRPr="00662DED">
        <w:rPr>
          <w:rFonts w:ascii="Times" w:hAnsi="Times" w:cs="Tahoma"/>
        </w:rPr>
        <w:t>indépendant·es</w:t>
      </w:r>
      <w:proofErr w:type="spellEnd"/>
      <w:r w:rsidRPr="00662DED">
        <w:rPr>
          <w:rFonts w:ascii="Times" w:hAnsi="Times" w:cs="Tahoma"/>
        </w:rPr>
        <w:t>.</w:t>
      </w:r>
    </w:p>
    <w:p w:rsidR="00662DED" w:rsidRPr="00662DED" w:rsidRDefault="00662DED" w:rsidP="00662DED">
      <w:pPr>
        <w:pStyle w:val="Standard"/>
        <w:jc w:val="both"/>
        <w:rPr>
          <w:rFonts w:ascii="Times" w:hAnsi="Times"/>
        </w:rPr>
      </w:pPr>
      <w:r w:rsidRPr="00662DED">
        <w:rPr>
          <w:rFonts w:ascii="Times" w:hAnsi="Times" w:cs="Tahoma"/>
        </w:rPr>
        <w:t xml:space="preserve">Mais ce que les </w:t>
      </w:r>
      <w:proofErr w:type="spellStart"/>
      <w:r w:rsidRPr="00662DED">
        <w:rPr>
          <w:rFonts w:ascii="Times" w:hAnsi="Times" w:cs="Tahoma"/>
        </w:rPr>
        <w:t>défenseur·ses</w:t>
      </w:r>
      <w:proofErr w:type="spellEnd"/>
      <w:r w:rsidRPr="00662DED">
        <w:rPr>
          <w:rFonts w:ascii="Times" w:hAnsi="Times" w:cs="Tahoma"/>
        </w:rPr>
        <w:t xml:space="preserve"> de la réforme expliquent moins, c’est le parcours du/de la </w:t>
      </w:r>
      <w:proofErr w:type="spellStart"/>
      <w:r w:rsidRPr="00662DED">
        <w:rPr>
          <w:rFonts w:ascii="Times" w:hAnsi="Times" w:cs="Tahoma"/>
        </w:rPr>
        <w:t>combattant·e</w:t>
      </w:r>
      <w:proofErr w:type="spellEnd"/>
      <w:r w:rsidRPr="00662DED">
        <w:rPr>
          <w:rFonts w:ascii="Times" w:hAnsi="Times" w:cs="Tahoma"/>
        </w:rPr>
        <w:t xml:space="preserve"> et/ou les conditions restrictives pour y accéder.</w:t>
      </w:r>
    </w:p>
    <w:p w:rsidR="00662DED" w:rsidRPr="00662DED" w:rsidRDefault="00662DED" w:rsidP="00662DED">
      <w:pPr>
        <w:pStyle w:val="Standard"/>
        <w:jc w:val="both"/>
        <w:rPr>
          <w:rFonts w:ascii="Times" w:hAnsi="Times" w:cs="Tahoma"/>
        </w:rPr>
      </w:pPr>
    </w:p>
    <w:p w:rsidR="00662DED" w:rsidRPr="00662DED" w:rsidRDefault="00662DED" w:rsidP="00662DED">
      <w:pPr>
        <w:pStyle w:val="Standard"/>
        <w:jc w:val="both"/>
        <w:rPr>
          <w:rFonts w:ascii="Times" w:hAnsi="Times"/>
        </w:rPr>
      </w:pPr>
      <w:r w:rsidRPr="00662DED">
        <w:rPr>
          <w:rFonts w:ascii="Times" w:hAnsi="Times" w:cs="Tahoma"/>
        </w:rPr>
        <w:t xml:space="preserve">Les démissionnaires devront justifier de 5 ans d’activité continue et d’un projet de reconversion ou de création d’entreprise travaillé dans le cadre du Conseil en </w:t>
      </w:r>
      <w:proofErr w:type="spellStart"/>
      <w:r w:rsidRPr="00662DED">
        <w:rPr>
          <w:rFonts w:ascii="Times" w:hAnsi="Times" w:cs="Tahoma"/>
        </w:rPr>
        <w:t>Evolution</w:t>
      </w:r>
      <w:proofErr w:type="spellEnd"/>
      <w:r w:rsidRPr="00662DED">
        <w:rPr>
          <w:rFonts w:ascii="Times" w:hAnsi="Times" w:cs="Tahoma"/>
        </w:rPr>
        <w:t xml:space="preserve"> Professionnelle (CEP) puis validé par une Commission Paritaire Interprofessionnelle Régionale (CPIR).</w:t>
      </w:r>
    </w:p>
    <w:p w:rsidR="00662DED" w:rsidRPr="00662DED" w:rsidRDefault="00662DED" w:rsidP="00662DED">
      <w:pPr>
        <w:pStyle w:val="Standard"/>
        <w:jc w:val="both"/>
        <w:rPr>
          <w:rFonts w:ascii="Times" w:hAnsi="Times" w:cs="Tahoma"/>
        </w:rPr>
      </w:pPr>
    </w:p>
    <w:p w:rsidR="00662DED" w:rsidRPr="00662DED" w:rsidRDefault="00662DED" w:rsidP="00662DED">
      <w:pPr>
        <w:pStyle w:val="Standard"/>
        <w:jc w:val="both"/>
        <w:rPr>
          <w:rFonts w:ascii="Times" w:hAnsi="Times"/>
        </w:rPr>
      </w:pPr>
      <w:r w:rsidRPr="00662DED">
        <w:rPr>
          <w:rFonts w:ascii="Times" w:hAnsi="Times" w:cs="Tahoma"/>
        </w:rPr>
        <w:t xml:space="preserve">Les </w:t>
      </w:r>
      <w:proofErr w:type="spellStart"/>
      <w:r w:rsidRPr="00662DED">
        <w:rPr>
          <w:rFonts w:ascii="Times" w:hAnsi="Times" w:cs="Tahoma"/>
        </w:rPr>
        <w:t>indépendant·es</w:t>
      </w:r>
      <w:proofErr w:type="spellEnd"/>
      <w:r w:rsidRPr="00662DED">
        <w:rPr>
          <w:rFonts w:ascii="Times" w:hAnsi="Times" w:cs="Tahoma"/>
        </w:rPr>
        <w:t xml:space="preserve"> devront quant à eux / elles avoir exercé leur activité pendant au moins deux ans, au titre d’une seule et même entreprise, avec un chiffre d’affaire annuel moyen minimal de 10 000 euros sur les deux dernières années. La cessation d’activité devra être le résultat d’une liquidation ou d’un redressement judiciaire avec éviction du / de la </w:t>
      </w:r>
      <w:proofErr w:type="spellStart"/>
      <w:r w:rsidRPr="00662DED">
        <w:rPr>
          <w:rFonts w:ascii="Times" w:hAnsi="Times" w:cs="Tahoma"/>
        </w:rPr>
        <w:t>dirigeant·e</w:t>
      </w:r>
      <w:proofErr w:type="spellEnd"/>
      <w:r w:rsidRPr="00662DED">
        <w:rPr>
          <w:rFonts w:ascii="Times" w:hAnsi="Times" w:cs="Tahoma"/>
        </w:rPr>
        <w:t>.</w:t>
      </w:r>
    </w:p>
    <w:p w:rsidR="00662DED" w:rsidRPr="00662DED" w:rsidRDefault="00662DED" w:rsidP="00662DED">
      <w:pPr>
        <w:pStyle w:val="Standard"/>
        <w:jc w:val="both"/>
        <w:rPr>
          <w:rFonts w:ascii="Times" w:hAnsi="Times" w:cs="Tahoma"/>
        </w:rPr>
      </w:pPr>
    </w:p>
    <w:p w:rsidR="00662DED" w:rsidRPr="00662DED" w:rsidRDefault="00662DED" w:rsidP="00662DED">
      <w:pPr>
        <w:pStyle w:val="Standard"/>
        <w:rPr>
          <w:rFonts w:ascii="Arial Black" w:hAnsi="Arial Black" w:cs="Tahoma"/>
          <w:b/>
          <w:bCs/>
          <w:color w:val="000000"/>
        </w:rPr>
      </w:pPr>
      <w:r w:rsidRPr="00662DED">
        <w:rPr>
          <w:rFonts w:ascii="Arial Black" w:hAnsi="Arial Black" w:cs="Tahoma"/>
          <w:b/>
          <w:bCs/>
          <w:color w:val="000000"/>
        </w:rPr>
        <w:t>Et 1 300 000 </w:t>
      </w:r>
      <w:proofErr w:type="spellStart"/>
      <w:proofErr w:type="gramStart"/>
      <w:r w:rsidRPr="00662DED">
        <w:rPr>
          <w:rFonts w:ascii="Arial Black" w:hAnsi="Arial Black" w:cs="Tahoma"/>
          <w:b/>
          <w:bCs/>
          <w:color w:val="000000"/>
        </w:rPr>
        <w:t>perdant</w:t>
      </w:r>
      <w:proofErr w:type="gramEnd"/>
      <w:r w:rsidRPr="00662DED">
        <w:rPr>
          <w:rFonts w:ascii="Arial Black" w:hAnsi="Arial Black" w:cs="Tahoma"/>
          <w:b/>
          <w:bCs/>
          <w:color w:val="000000"/>
        </w:rPr>
        <w:t>·es</w:t>
      </w:r>
      <w:proofErr w:type="spellEnd"/>
      <w:r w:rsidRPr="00662DED">
        <w:rPr>
          <w:rFonts w:ascii="Arial Black" w:hAnsi="Arial Black" w:cs="Tahoma"/>
          <w:b/>
          <w:bCs/>
          <w:color w:val="000000"/>
        </w:rPr>
        <w:t> </w:t>
      </w:r>
    </w:p>
    <w:p w:rsidR="00662DED" w:rsidRPr="00662DED" w:rsidRDefault="00662DED" w:rsidP="00662DED">
      <w:pPr>
        <w:pStyle w:val="Standard"/>
        <w:jc w:val="both"/>
        <w:rPr>
          <w:rFonts w:ascii="Times" w:hAnsi="Times" w:cs="Tahoma"/>
        </w:rPr>
      </w:pPr>
    </w:p>
    <w:p w:rsidR="00662DED" w:rsidRPr="00662DED" w:rsidRDefault="00662DED" w:rsidP="00662DED">
      <w:pPr>
        <w:pStyle w:val="Standard"/>
        <w:jc w:val="both"/>
        <w:rPr>
          <w:rFonts w:ascii="Times" w:hAnsi="Times"/>
        </w:rPr>
      </w:pPr>
      <w:r w:rsidRPr="00662DED">
        <w:rPr>
          <w:rFonts w:ascii="Times" w:hAnsi="Times" w:cs="Tahoma"/>
        </w:rPr>
        <w:t>Face à ces « </w:t>
      </w:r>
      <w:r w:rsidRPr="00662DED">
        <w:rPr>
          <w:rFonts w:ascii="Times" w:hAnsi="Times" w:cs="Tahoma"/>
          <w:i/>
        </w:rPr>
        <w:t>nouveaux droits</w:t>
      </w:r>
      <w:r w:rsidRPr="00662DED">
        <w:rPr>
          <w:rFonts w:ascii="Times" w:hAnsi="Times" w:cs="Tahoma"/>
        </w:rPr>
        <w:t> », on trouve des mesures liées aux nouvelles règles d’indemnisation. Et quelles mesures ! Allongement de la durée d’affiliation sur une période plus courte pour ouvrir des droits (6 mois sur 24 au lieu de 4 sur 28 pour les moins de 53 ans), mise en place de la dégressivité pour les hauts revenus à partir du 7</w:t>
      </w:r>
      <w:r w:rsidRPr="00662DED">
        <w:rPr>
          <w:rFonts w:ascii="Times" w:hAnsi="Times" w:cs="Tahoma"/>
          <w:vertAlign w:val="superscript"/>
        </w:rPr>
        <w:t>e</w:t>
      </w:r>
      <w:r w:rsidRPr="00662DED">
        <w:rPr>
          <w:rFonts w:ascii="Times" w:hAnsi="Times" w:cs="Tahoma"/>
        </w:rPr>
        <w:t xml:space="preserve"> mois et, au 1</w:t>
      </w:r>
      <w:r w:rsidRPr="00662DED">
        <w:rPr>
          <w:rFonts w:ascii="Times" w:hAnsi="Times" w:cs="Tahoma"/>
          <w:vertAlign w:val="superscript"/>
        </w:rPr>
        <w:t>er</w:t>
      </w:r>
      <w:r w:rsidRPr="00662DED">
        <w:rPr>
          <w:rFonts w:ascii="Times" w:hAnsi="Times" w:cs="Tahoma"/>
        </w:rPr>
        <w:t xml:space="preserve"> avril 2020, un nouveau calcul du Salaire Journalier de Référence (SJR) donc du montant </w:t>
      </w:r>
      <w:proofErr w:type="gramStart"/>
      <w:r w:rsidRPr="00662DED">
        <w:rPr>
          <w:rFonts w:ascii="Times" w:hAnsi="Times" w:cs="Tahoma"/>
        </w:rPr>
        <w:t>de  l’allocation</w:t>
      </w:r>
      <w:proofErr w:type="gramEnd"/>
      <w:r w:rsidRPr="00662DED">
        <w:rPr>
          <w:rFonts w:ascii="Times" w:hAnsi="Times" w:cs="Tahoma"/>
        </w:rPr>
        <w:t xml:space="preserve"> chômage (ARE).</w:t>
      </w:r>
    </w:p>
    <w:p w:rsidR="00662DED" w:rsidRPr="00662DED" w:rsidRDefault="00662DED" w:rsidP="00662DED">
      <w:pPr>
        <w:pStyle w:val="Standard"/>
        <w:jc w:val="both"/>
        <w:rPr>
          <w:rFonts w:ascii="Times" w:hAnsi="Times" w:cs="Tahoma"/>
        </w:rPr>
      </w:pPr>
    </w:p>
    <w:p w:rsidR="00662DED" w:rsidRPr="00662DED" w:rsidRDefault="00662DED" w:rsidP="00662DED">
      <w:pPr>
        <w:pStyle w:val="Standard"/>
        <w:jc w:val="both"/>
        <w:rPr>
          <w:rFonts w:ascii="Times" w:hAnsi="Times"/>
        </w:rPr>
      </w:pPr>
      <w:r w:rsidRPr="00662DED">
        <w:rPr>
          <w:rFonts w:ascii="Times" w:hAnsi="Times" w:cs="Tahoma"/>
        </w:rPr>
        <w:t xml:space="preserve">La note d’impact de l’UNEDIC publiée en septembre dernier est sans appel : d’ici à mars 2021, 1,3 million de </w:t>
      </w:r>
      <w:proofErr w:type="spellStart"/>
      <w:r w:rsidRPr="00662DED">
        <w:rPr>
          <w:rFonts w:ascii="Times" w:hAnsi="Times" w:cs="Tahoma"/>
        </w:rPr>
        <w:t>privé·es</w:t>
      </w:r>
      <w:proofErr w:type="spellEnd"/>
      <w:r w:rsidRPr="00662DED">
        <w:rPr>
          <w:rFonts w:ascii="Times" w:hAnsi="Times" w:cs="Tahoma"/>
        </w:rPr>
        <w:t xml:space="preserve"> d’emploi sera impacté, soit </w:t>
      </w:r>
      <w:proofErr w:type="spellStart"/>
      <w:r w:rsidRPr="00662DED">
        <w:rPr>
          <w:rFonts w:ascii="Times" w:hAnsi="Times" w:cs="Tahoma"/>
        </w:rPr>
        <w:t>un·e</w:t>
      </w:r>
      <w:proofErr w:type="spellEnd"/>
      <w:r w:rsidRPr="00662DED">
        <w:rPr>
          <w:rFonts w:ascii="Times" w:hAnsi="Times" w:cs="Tahoma"/>
        </w:rPr>
        <w:t xml:space="preserve"> </w:t>
      </w:r>
      <w:proofErr w:type="spellStart"/>
      <w:r w:rsidRPr="00662DED">
        <w:rPr>
          <w:rFonts w:ascii="Times" w:hAnsi="Times" w:cs="Tahoma"/>
        </w:rPr>
        <w:t>chômeur·euse</w:t>
      </w:r>
      <w:proofErr w:type="spellEnd"/>
      <w:r w:rsidRPr="00662DED">
        <w:rPr>
          <w:rFonts w:ascii="Times" w:hAnsi="Times" w:cs="Tahoma"/>
        </w:rPr>
        <w:t xml:space="preserve"> sur deux ! </w:t>
      </w:r>
      <w:proofErr w:type="spellStart"/>
      <w:r w:rsidRPr="00662DED">
        <w:rPr>
          <w:rFonts w:ascii="Times" w:hAnsi="Times" w:cs="Tahoma"/>
        </w:rPr>
        <w:t>Certain·es</w:t>
      </w:r>
      <w:proofErr w:type="spellEnd"/>
      <w:r w:rsidRPr="00662DED">
        <w:rPr>
          <w:rFonts w:ascii="Times" w:hAnsi="Times" w:cs="Tahoma"/>
        </w:rPr>
        <w:t xml:space="preserve"> verront la durée de leurs droits réduite du fait d’une période d’affiliation plus courte, d’autres ouvriront (ou pas) des droits plus tard, le temps d’obtenir les 6 mois d’affiliation requis</w:t>
      </w:r>
      <w:r w:rsidR="004F3D19">
        <w:rPr>
          <w:rFonts w:ascii="Times" w:hAnsi="Times" w:cs="Tahoma"/>
        </w:rPr>
        <w:t>,</w:t>
      </w:r>
      <w:r w:rsidRPr="00662DED">
        <w:rPr>
          <w:rFonts w:ascii="Times" w:hAnsi="Times" w:cs="Tahoma"/>
        </w:rPr>
        <w:t xml:space="preserve"> y compris en cas de rechargement, au lieu d’un seul mois auparavant.</w:t>
      </w:r>
    </w:p>
    <w:p w:rsidR="00662DED" w:rsidRPr="00662DED" w:rsidRDefault="00662DED" w:rsidP="00662DED">
      <w:pPr>
        <w:pStyle w:val="Standard"/>
        <w:jc w:val="both"/>
        <w:rPr>
          <w:rFonts w:ascii="Times" w:hAnsi="Times"/>
        </w:rPr>
      </w:pPr>
      <w:r w:rsidRPr="00662DED">
        <w:rPr>
          <w:rFonts w:ascii="Times" w:hAnsi="Times" w:cs="Tahoma"/>
        </w:rPr>
        <w:t>Quant à celles et ceux qui perdront leur emploi à compter du 1</w:t>
      </w:r>
      <w:r w:rsidRPr="00662DED">
        <w:rPr>
          <w:rFonts w:ascii="Times" w:hAnsi="Times" w:cs="Tahoma"/>
          <w:vertAlign w:val="superscript"/>
        </w:rPr>
        <w:t>er</w:t>
      </w:r>
      <w:r w:rsidRPr="00662DED">
        <w:rPr>
          <w:rFonts w:ascii="Times" w:hAnsi="Times" w:cs="Tahoma"/>
        </w:rPr>
        <w:t xml:space="preserve"> avril prochain, le montant de leur allocation pourra baisser drastiquement en cas de </w:t>
      </w:r>
      <w:proofErr w:type="spellStart"/>
      <w:r w:rsidRPr="00662DED">
        <w:rPr>
          <w:rFonts w:ascii="Times" w:hAnsi="Times" w:cs="Tahoma"/>
        </w:rPr>
        <w:t>permittence</w:t>
      </w:r>
      <w:proofErr w:type="spellEnd"/>
      <w:r w:rsidRPr="00662DED">
        <w:rPr>
          <w:rFonts w:ascii="Times" w:hAnsi="Times" w:cs="Tahoma"/>
        </w:rPr>
        <w:t xml:space="preserve"> (alternance de périodes d’emploi et de chômage, par exemple 6 mois de travail échelonnés sur 12 mois).</w:t>
      </w:r>
    </w:p>
    <w:p w:rsidR="00662DED" w:rsidRPr="00662DED" w:rsidRDefault="00662DED" w:rsidP="00662DED">
      <w:pPr>
        <w:pStyle w:val="Standard"/>
        <w:jc w:val="both"/>
        <w:rPr>
          <w:rFonts w:ascii="Times" w:hAnsi="Times" w:cs="Tahoma"/>
        </w:rPr>
      </w:pPr>
    </w:p>
    <w:p w:rsidR="00662DED" w:rsidRPr="00662DED" w:rsidRDefault="00662DED" w:rsidP="00662DED">
      <w:pPr>
        <w:pStyle w:val="Standard"/>
        <w:jc w:val="both"/>
        <w:rPr>
          <w:rFonts w:ascii="Times" w:hAnsi="Times" w:cs="Tahoma"/>
        </w:rPr>
      </w:pPr>
      <w:r w:rsidRPr="00662DED">
        <w:rPr>
          <w:rFonts w:ascii="Times" w:hAnsi="Times" w:cs="Tahoma"/>
        </w:rPr>
        <w:t>Alors le gouvernement et son service après-vente argumentent. Certes, l’allocation mensuelle diminuera mais la durée du droit augmentera. Il n’y aura donc pas de réduction du montant global du droit ouvert ! Sauf qu’il y a une différence entre (sur)vivre avec 850 euros pendant 6 mois et 500 euros pendant 12 mois.</w:t>
      </w:r>
    </w:p>
    <w:p w:rsidR="00662DED" w:rsidRPr="00662DED" w:rsidRDefault="00662DED" w:rsidP="00662DED">
      <w:pPr>
        <w:pStyle w:val="Standard"/>
        <w:jc w:val="both"/>
        <w:rPr>
          <w:rFonts w:ascii="Times" w:hAnsi="Times" w:cs="Tahoma"/>
        </w:rPr>
      </w:pPr>
    </w:p>
    <w:p w:rsidR="00662DED" w:rsidRPr="00662DED" w:rsidRDefault="00662DED" w:rsidP="00662DED">
      <w:pPr>
        <w:pStyle w:val="Standard"/>
        <w:jc w:val="both"/>
        <w:rPr>
          <w:rFonts w:ascii="Times" w:hAnsi="Times" w:cs="Tahoma"/>
        </w:rPr>
      </w:pPr>
      <w:r w:rsidRPr="00662DED">
        <w:rPr>
          <w:rFonts w:ascii="Times" w:hAnsi="Times" w:cs="Tahoma"/>
        </w:rPr>
        <w:t>D’ici à fin 2022, l’UNEDIC estime que les dépenses liées à ces nouvelles règles baisseront de 6 milliards d’euros.</w:t>
      </w:r>
    </w:p>
    <w:p w:rsidR="00662DED" w:rsidRPr="00662DED" w:rsidRDefault="00662DED" w:rsidP="00662DED">
      <w:pPr>
        <w:pStyle w:val="Standard"/>
        <w:jc w:val="both"/>
        <w:rPr>
          <w:rFonts w:ascii="Times" w:hAnsi="Times" w:cs="Tahoma"/>
        </w:rPr>
      </w:pPr>
    </w:p>
    <w:p w:rsidR="00662DED" w:rsidRPr="00662DED" w:rsidRDefault="00662DED" w:rsidP="00662DED">
      <w:pPr>
        <w:pStyle w:val="Standard"/>
        <w:jc w:val="both"/>
        <w:rPr>
          <w:rFonts w:ascii="Times" w:hAnsi="Times"/>
        </w:rPr>
      </w:pPr>
      <w:r w:rsidRPr="00662DED">
        <w:rPr>
          <w:rFonts w:ascii="Times" w:hAnsi="Times" w:cs="Tahoma"/>
        </w:rPr>
        <w:t xml:space="preserve">Cette réforme, loin de protéger les plus fragiles, va faire plonger dans la précarité toutes celles et tous ceux qui galèrent au quotidien faute d’avoir un emploi stable, à temps plein : les moins </w:t>
      </w:r>
      <w:proofErr w:type="spellStart"/>
      <w:r w:rsidRPr="00662DED">
        <w:rPr>
          <w:rFonts w:ascii="Times" w:hAnsi="Times" w:cs="Tahoma"/>
        </w:rPr>
        <w:t>qualifié·es</w:t>
      </w:r>
      <w:proofErr w:type="spellEnd"/>
      <w:r w:rsidRPr="00662DED">
        <w:rPr>
          <w:rFonts w:ascii="Times" w:hAnsi="Times" w:cs="Tahoma"/>
        </w:rPr>
        <w:t xml:space="preserve">, les jeunes, les femmes mais également les « seniors », </w:t>
      </w:r>
      <w:proofErr w:type="spellStart"/>
      <w:r w:rsidRPr="00662DED">
        <w:rPr>
          <w:rFonts w:ascii="Times" w:hAnsi="Times" w:cs="Tahoma"/>
        </w:rPr>
        <w:t>appelé·es</w:t>
      </w:r>
      <w:proofErr w:type="spellEnd"/>
      <w:r w:rsidRPr="00662DED">
        <w:rPr>
          <w:rFonts w:ascii="Times" w:hAnsi="Times" w:cs="Tahoma"/>
        </w:rPr>
        <w:t xml:space="preserve"> à rester plus longtemps sur le marché du travail.</w:t>
      </w:r>
    </w:p>
    <w:p w:rsidR="00662DED" w:rsidRPr="00662DED" w:rsidRDefault="00662DED" w:rsidP="00662DED">
      <w:pPr>
        <w:pStyle w:val="Standard"/>
        <w:jc w:val="both"/>
        <w:rPr>
          <w:rFonts w:ascii="Times" w:hAnsi="Times" w:cs="Tahoma"/>
        </w:rPr>
      </w:pPr>
    </w:p>
    <w:p w:rsidR="004F3D19" w:rsidRDefault="00662DED" w:rsidP="00662DED">
      <w:pPr>
        <w:pStyle w:val="Standard"/>
        <w:jc w:val="both"/>
        <w:rPr>
          <w:rFonts w:ascii="Times" w:hAnsi="Times" w:cs="Tahoma"/>
        </w:rPr>
      </w:pPr>
      <w:r w:rsidRPr="00662DED">
        <w:rPr>
          <w:rFonts w:ascii="Times" w:hAnsi="Times" w:cs="Tahoma"/>
        </w:rPr>
        <w:t xml:space="preserve">Au lieu de lutter contre </w:t>
      </w:r>
      <w:proofErr w:type="gramStart"/>
      <w:r w:rsidRPr="00662DED">
        <w:rPr>
          <w:rFonts w:ascii="Times" w:hAnsi="Times" w:cs="Tahoma"/>
        </w:rPr>
        <w:t xml:space="preserve">les </w:t>
      </w:r>
      <w:proofErr w:type="spellStart"/>
      <w:r w:rsidRPr="00662DED">
        <w:rPr>
          <w:rFonts w:ascii="Times" w:hAnsi="Times" w:cs="Tahoma"/>
        </w:rPr>
        <w:t>chômeur</w:t>
      </w:r>
      <w:proofErr w:type="gramEnd"/>
      <w:r w:rsidRPr="00662DED">
        <w:rPr>
          <w:rFonts w:ascii="Times" w:hAnsi="Times" w:cs="Tahoma"/>
        </w:rPr>
        <w:t>·euses</w:t>
      </w:r>
      <w:proofErr w:type="spellEnd"/>
      <w:r w:rsidRPr="00662DED">
        <w:rPr>
          <w:rFonts w:ascii="Times" w:hAnsi="Times" w:cs="Tahoma"/>
        </w:rPr>
        <w:t xml:space="preserve"> en les contrôlant, en les culpabilisant et en les rendant responsables de leur situation, il serait grand temps de lutter contre la précarité et le chômage, générés par des années de politiques privilégiant le capital au détriment du travail. Car le problème n’est pas le coût du travail mais bel et bien la recherche sans fin du profit ! Il s’agit d’une volonté politique de casser la protection sociale. </w:t>
      </w:r>
    </w:p>
    <w:p w:rsidR="004F3D19" w:rsidRDefault="004F3D19" w:rsidP="00662DED">
      <w:pPr>
        <w:pStyle w:val="Standard"/>
        <w:jc w:val="both"/>
        <w:rPr>
          <w:rFonts w:ascii="Times" w:hAnsi="Times" w:cs="Tahoma"/>
        </w:rPr>
      </w:pPr>
    </w:p>
    <w:p w:rsidR="00662DED" w:rsidRPr="00662DED" w:rsidRDefault="00662DED" w:rsidP="00662DED">
      <w:pPr>
        <w:pStyle w:val="Standard"/>
        <w:jc w:val="both"/>
        <w:rPr>
          <w:rFonts w:ascii="Times" w:hAnsi="Times" w:cs="Tahoma"/>
        </w:rPr>
      </w:pPr>
      <w:r w:rsidRPr="00662DED">
        <w:rPr>
          <w:rFonts w:ascii="Times" w:hAnsi="Times" w:cs="Tahoma"/>
        </w:rPr>
        <w:t xml:space="preserve">Que ce soit pour l’assurance chômage, les retraites, la santé… opposons leur la nôtre, fondée sur une plus juste répartition des richesses. </w:t>
      </w:r>
      <w:r w:rsidRPr="004F3D19">
        <w:rPr>
          <w:rFonts w:ascii="Arial Black" w:hAnsi="Arial Black" w:cs="Tahoma"/>
          <w:b/>
          <w:bCs/>
        </w:rPr>
        <w:t>Le 30 novembre, le 5 décembre et ensuite !</w:t>
      </w:r>
    </w:p>
    <w:p w:rsidR="006049E6" w:rsidRDefault="006049E6" w:rsidP="00834DD2">
      <w:pPr>
        <w:autoSpaceDE/>
        <w:autoSpaceDN/>
        <w:spacing w:before="100" w:beforeAutospacing="1"/>
        <w:contextualSpacing/>
        <w:jc w:val="both"/>
        <w:rPr>
          <w:rFonts w:ascii="Times" w:hAnsi="Times" w:cs="Arial"/>
          <w:b/>
          <w:bCs/>
          <w:color w:val="000000"/>
          <w:sz w:val="24"/>
          <w:szCs w:val="24"/>
        </w:rPr>
      </w:pPr>
      <w:bookmarkStart w:id="0" w:name="_GoBack"/>
      <w:bookmarkEnd w:id="0"/>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s="Arial"/>
          <w:b/>
          <w:bCs/>
          <w:color w:val="000000"/>
          <w:sz w:val="24"/>
          <w:szCs w:val="24"/>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Default="00662DED" w:rsidP="00834DD2">
      <w:pPr>
        <w:autoSpaceDE/>
        <w:autoSpaceDN/>
        <w:spacing w:before="100" w:beforeAutospacing="1"/>
        <w:contextualSpacing/>
        <w:jc w:val="both"/>
        <w:rPr>
          <w:rFonts w:ascii="Times" w:hAnsi="Times"/>
          <w:color w:val="000000" w:themeColor="text1"/>
          <w:sz w:val="22"/>
          <w:szCs w:val="22"/>
        </w:rPr>
      </w:pPr>
    </w:p>
    <w:p w:rsidR="00662DED" w:rsidRPr="00662DED" w:rsidRDefault="00662DED" w:rsidP="00662DED">
      <w:pPr>
        <w:autoSpaceDE/>
        <w:autoSpaceDN/>
        <w:spacing w:before="100" w:beforeAutospacing="1"/>
        <w:ind w:firstLine="708"/>
        <w:contextualSpacing/>
        <w:jc w:val="both"/>
        <w:rPr>
          <w:rFonts w:ascii="Times" w:hAnsi="Times"/>
          <w:color w:val="000000" w:themeColor="text1"/>
          <w:sz w:val="22"/>
          <w:szCs w:val="22"/>
        </w:rPr>
      </w:pPr>
      <w:r w:rsidRPr="00CF783C">
        <w:rPr>
          <w:rFonts w:ascii="Tahoma" w:hAnsi="Tahoma" w:cs="Tahoma"/>
          <w:noProof/>
          <w:sz w:val="22"/>
          <w:szCs w:val="22"/>
        </w:rPr>
        <w:drawing>
          <wp:inline distT="0" distB="0" distL="0" distR="0" wp14:anchorId="40854687" wp14:editId="53EF91CB">
            <wp:extent cx="5750640" cy="1357560"/>
            <wp:effectExtent l="0" t="0" r="2460" b="1340"/>
            <wp:docPr id="4"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50640" cy="1357560"/>
                    </a:xfrm>
                    <a:prstGeom prst="rect">
                      <a:avLst/>
                    </a:prstGeom>
                    <a:ln>
                      <a:noFill/>
                      <a:prstDash/>
                    </a:ln>
                  </pic:spPr>
                </pic:pic>
              </a:graphicData>
            </a:graphic>
          </wp:inline>
        </w:drawing>
      </w:r>
    </w:p>
    <w:sectPr w:rsidR="00662DED" w:rsidRPr="00662DED" w:rsidSect="003A5F60">
      <w:headerReference w:type="default" r:id="rId8"/>
      <w:footerReference w:type="default" r:id="rId9"/>
      <w:pgSz w:w="11906" w:h="16838"/>
      <w:pgMar w:top="1021" w:right="709" w:bottom="323" w:left="709" w:header="567" w:footer="15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CE3" w:rsidRDefault="00281CE3">
      <w:r>
        <w:separator/>
      </w:r>
    </w:p>
  </w:endnote>
  <w:endnote w:type="continuationSeparator" w:id="0">
    <w:p w:rsidR="00281CE3" w:rsidRDefault="0028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cotchlidaires">
    <w:panose1 w:val="00000000000000000000"/>
    <w:charset w:val="80"/>
    <w:family w:val="auto"/>
    <w:pitch w:val="variable"/>
    <w:sig w:usb0="00000001" w:usb1="08070000" w:usb2="00000010" w:usb3="00000000" w:csb0="003F00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F60" w:rsidRDefault="003A5F60" w:rsidP="003A5F60">
    <w:pPr>
      <w:jc w:val="right"/>
      <w:rPr>
        <w:sz w:val="24"/>
        <w:szCs w:val="24"/>
      </w:rPr>
    </w:pPr>
  </w:p>
  <w:p w:rsidR="003A5F60" w:rsidRDefault="003A5F60">
    <w:pPr>
      <w:jc w:val="both"/>
      <w:rPr>
        <w:sz w:val="24"/>
        <w:szCs w:val="24"/>
      </w:rPr>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2835"/>
      <w:gridCol w:w="1559"/>
    </w:tblGrid>
    <w:tr w:rsidR="003A5F60" w:rsidRPr="007A49EC">
      <w:trPr>
        <w:trHeight w:val="1127"/>
      </w:trPr>
      <w:tc>
        <w:tcPr>
          <w:tcW w:w="2552" w:type="dxa"/>
          <w:tcBorders>
            <w:right w:val="single" w:sz="4" w:space="0" w:color="auto"/>
          </w:tcBorders>
        </w:tcPr>
        <w:p w:rsidR="003A5F60" w:rsidRPr="00E662B4" w:rsidRDefault="003A5F60" w:rsidP="003A5F60">
          <w:pPr>
            <w:jc w:val="center"/>
            <w:rPr>
              <w:rFonts w:ascii="Arial Black" w:hAnsi="Arial Black" w:cs="Arial"/>
            </w:rPr>
          </w:pPr>
        </w:p>
        <w:p w:rsidR="003A5F60" w:rsidRPr="004E7B3F" w:rsidRDefault="003A5F60" w:rsidP="003A5F60">
          <w:pPr>
            <w:jc w:val="center"/>
            <w:rPr>
              <w:rFonts w:ascii="Arial Black" w:hAnsi="Arial Black" w:cs="Arial"/>
              <w:b/>
            </w:rPr>
          </w:pPr>
          <w:r>
            <w:rPr>
              <w:rFonts w:ascii="Arial Black" w:hAnsi="Arial Black" w:cs="Arial"/>
              <w:b/>
            </w:rPr>
            <w:t>31 rue de la Grange aux belles</w:t>
          </w:r>
        </w:p>
        <w:p w:rsidR="003A5F60" w:rsidRPr="004E7B3F" w:rsidRDefault="003A5F60" w:rsidP="003A5F60">
          <w:pPr>
            <w:jc w:val="center"/>
            <w:rPr>
              <w:rFonts w:ascii="Arial Black" w:hAnsi="Arial Black" w:cs="Arial"/>
              <w:b/>
            </w:rPr>
          </w:pPr>
          <w:r w:rsidRPr="004E7B3F">
            <w:rPr>
              <w:rFonts w:ascii="Arial Black" w:hAnsi="Arial Black" w:cs="Arial"/>
              <w:b/>
            </w:rPr>
            <w:t>75 01</w:t>
          </w:r>
          <w:r>
            <w:rPr>
              <w:rFonts w:ascii="Arial Black" w:hAnsi="Arial Black" w:cs="Arial"/>
              <w:b/>
            </w:rPr>
            <w:t>0</w:t>
          </w:r>
          <w:r w:rsidRPr="004E7B3F">
            <w:rPr>
              <w:rFonts w:ascii="Arial Black" w:hAnsi="Arial Black" w:cs="Arial"/>
              <w:b/>
            </w:rPr>
            <w:t xml:space="preserve"> Paris</w:t>
          </w:r>
        </w:p>
        <w:p w:rsidR="003A5F60" w:rsidRPr="00E662B4" w:rsidRDefault="003A5F60" w:rsidP="003A5F60">
          <w:pPr>
            <w:jc w:val="center"/>
            <w:rPr>
              <w:rFonts w:ascii="Arial Black" w:hAnsi="Arial Black" w:cs="Arial"/>
              <w:b/>
            </w:rPr>
          </w:pPr>
        </w:p>
      </w:tc>
      <w:tc>
        <w:tcPr>
          <w:tcW w:w="3260" w:type="dxa"/>
          <w:tcBorders>
            <w:left w:val="single" w:sz="4" w:space="0" w:color="auto"/>
            <w:right w:val="single" w:sz="4" w:space="0" w:color="auto"/>
          </w:tcBorders>
        </w:tcPr>
        <w:p w:rsidR="003A5F60" w:rsidRPr="00E662B4" w:rsidRDefault="003A5F60" w:rsidP="003A5F60">
          <w:pPr>
            <w:rPr>
              <w:rFonts w:ascii="Arial Black" w:hAnsi="Arial Black" w:cs="Arial Black"/>
              <w:snapToGrid w:val="0"/>
            </w:rPr>
          </w:pPr>
        </w:p>
        <w:p w:rsidR="003A5F60" w:rsidRPr="004E7B3F" w:rsidRDefault="003A5F60" w:rsidP="003A5F60">
          <w:pPr>
            <w:rPr>
              <w:rFonts w:ascii="Arial Black" w:hAnsi="Arial Black" w:cs="Arial Black"/>
              <w:snapToGrid w:val="0"/>
            </w:rPr>
          </w:pPr>
          <w:r>
            <w:rPr>
              <w:rFonts w:ascii="Arial Black" w:hAnsi="Arial Black" w:cs="Arial Black"/>
              <w:snapToGrid w:val="0"/>
            </w:rPr>
            <w:t xml:space="preserve">Téléphone  33 </w:t>
          </w:r>
          <w:r w:rsidRPr="004E7B3F">
            <w:rPr>
              <w:rFonts w:ascii="Arial Black" w:hAnsi="Arial Black" w:cs="Arial Black"/>
              <w:snapToGrid w:val="0"/>
            </w:rPr>
            <w:t>1 58 39 30 20</w:t>
          </w:r>
        </w:p>
        <w:p w:rsidR="003A5F60" w:rsidRPr="004E7B3F" w:rsidRDefault="003A5F60" w:rsidP="003A5F60">
          <w:pPr>
            <w:rPr>
              <w:rFonts w:ascii="Arial Black" w:hAnsi="Arial Black" w:cs="Arial Black"/>
            </w:rPr>
          </w:pPr>
          <w:r>
            <w:rPr>
              <w:rFonts w:ascii="Arial Black" w:hAnsi="Arial Black" w:cs="Arial Black"/>
              <w:snapToGrid w:val="0"/>
            </w:rPr>
            <w:t xml:space="preserve">Télécopie </w:t>
          </w:r>
          <w:r w:rsidRPr="004E7B3F">
            <w:rPr>
              <w:rFonts w:ascii="Arial Black" w:hAnsi="Arial Black" w:cs="Arial Black"/>
              <w:snapToGrid w:val="0"/>
            </w:rPr>
            <w:t xml:space="preserve"> 01 43 67 62 14</w:t>
          </w:r>
        </w:p>
        <w:p w:rsidR="003A5F60" w:rsidRPr="00E662B4" w:rsidRDefault="003A5F60">
          <w:pPr>
            <w:jc w:val="center"/>
            <w:rPr>
              <w:rFonts w:ascii="Arial Black" w:hAnsi="Arial Black" w:cs="Arial Black"/>
            </w:rPr>
          </w:pPr>
        </w:p>
      </w:tc>
      <w:tc>
        <w:tcPr>
          <w:tcW w:w="2835" w:type="dxa"/>
          <w:tcBorders>
            <w:left w:val="single" w:sz="4" w:space="0" w:color="auto"/>
            <w:right w:val="single" w:sz="4" w:space="0" w:color="auto"/>
          </w:tcBorders>
        </w:tcPr>
        <w:p w:rsidR="003A5F60" w:rsidRPr="00E662B4" w:rsidRDefault="003A5F60">
          <w:pPr>
            <w:jc w:val="center"/>
            <w:rPr>
              <w:rFonts w:ascii="Arial Black" w:hAnsi="Arial Black" w:cs="Arial Black"/>
            </w:rPr>
          </w:pPr>
        </w:p>
        <w:p w:rsidR="003A5F60" w:rsidRPr="004E7B3F" w:rsidRDefault="003A5F60" w:rsidP="003A5F60">
          <w:pPr>
            <w:ind w:right="110"/>
            <w:jc w:val="center"/>
            <w:rPr>
              <w:rFonts w:ascii="Arial Black" w:hAnsi="Arial Black" w:cs="Arial Black"/>
              <w:snapToGrid w:val="0"/>
            </w:rPr>
          </w:pPr>
          <w:r w:rsidRPr="004E7B3F">
            <w:rPr>
              <w:rFonts w:ascii="Arial Black" w:hAnsi="Arial Black" w:cs="Arial Black"/>
              <w:snapToGrid w:val="0"/>
            </w:rPr>
            <w:t>contact@solidaires.org www.solidaires.org</w:t>
          </w:r>
        </w:p>
        <w:p w:rsidR="003A5F60" w:rsidRPr="00E662B4" w:rsidRDefault="003A5F60">
          <w:pPr>
            <w:jc w:val="center"/>
            <w:rPr>
              <w:rFonts w:ascii="Arial Black" w:hAnsi="Arial Black" w:cs="Arial Black"/>
            </w:rPr>
          </w:pPr>
        </w:p>
      </w:tc>
      <w:tc>
        <w:tcPr>
          <w:tcW w:w="1559" w:type="dxa"/>
          <w:tcBorders>
            <w:top w:val="nil"/>
            <w:left w:val="single" w:sz="4" w:space="0" w:color="auto"/>
            <w:bottom w:val="nil"/>
            <w:right w:val="nil"/>
          </w:tcBorders>
        </w:tcPr>
        <w:p w:rsidR="003A5F60" w:rsidRPr="00E662B4" w:rsidRDefault="000139BD" w:rsidP="003A5F60">
          <w:pPr>
            <w:ind w:left="200"/>
            <w:jc w:val="right"/>
            <w:rPr>
              <w:rFonts w:ascii="Arial Black" w:hAnsi="Arial Black" w:cs="Arial Black"/>
            </w:rPr>
          </w:pPr>
          <w:r>
            <w:rPr>
              <w:noProof/>
              <w:sz w:val="24"/>
              <w:szCs w:val="24"/>
            </w:rPr>
            <w:drawing>
              <wp:inline distT="0" distB="0" distL="0" distR="0" wp14:anchorId="7F5D99B5" wp14:editId="58541D03">
                <wp:extent cx="760095" cy="715010"/>
                <wp:effectExtent l="0" t="0" r="1905"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15010"/>
                        </a:xfrm>
                        <a:prstGeom prst="rect">
                          <a:avLst/>
                        </a:prstGeom>
                        <a:noFill/>
                        <a:ln>
                          <a:noFill/>
                        </a:ln>
                      </pic:spPr>
                    </pic:pic>
                  </a:graphicData>
                </a:graphic>
              </wp:inline>
            </w:drawing>
          </w:r>
        </w:p>
      </w:tc>
    </w:tr>
  </w:tbl>
  <w:p w:rsidR="003A5F60" w:rsidRPr="007A49EC" w:rsidRDefault="003A5F60" w:rsidP="003A5F60">
    <w:pPr>
      <w:jc w:val="right"/>
      <w:rPr>
        <w:sz w:val="22"/>
        <w:szCs w:val="22"/>
      </w:rPr>
    </w:pPr>
  </w:p>
  <w:p w:rsidR="003A5F60" w:rsidRDefault="003A5F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CE3" w:rsidRDefault="00281CE3">
      <w:r>
        <w:separator/>
      </w:r>
    </w:p>
  </w:footnote>
  <w:footnote w:type="continuationSeparator" w:id="0">
    <w:p w:rsidR="00281CE3" w:rsidRDefault="0028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F60" w:rsidRDefault="000139BD">
    <w:pPr>
      <w:pStyle w:val="En-tte"/>
    </w:pPr>
    <w:r>
      <w:rPr>
        <w:noProof/>
        <w:lang w:val="fr-FR" w:eastAsia="fr-FR"/>
      </w:rPr>
      <w:drawing>
        <wp:anchor distT="0" distB="0" distL="114300" distR="114300" simplePos="0" relativeHeight="251658240" behindDoc="0" locked="0" layoutInCell="1" allowOverlap="1" wp14:anchorId="69836156" wp14:editId="4509E773">
          <wp:simplePos x="0" y="0"/>
          <wp:positionH relativeFrom="column">
            <wp:posOffset>76200</wp:posOffset>
          </wp:positionH>
          <wp:positionV relativeFrom="paragraph">
            <wp:posOffset>-120015</wp:posOffset>
          </wp:positionV>
          <wp:extent cx="2819400" cy="1303020"/>
          <wp:effectExtent l="0" t="0" r="0" b="0"/>
          <wp:wrapSquare wrapText="bothSides"/>
          <wp:docPr id="3"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F60" w:rsidRDefault="003A5F60">
    <w:pPr>
      <w:pStyle w:val="En-tte"/>
    </w:pPr>
  </w:p>
  <w:p w:rsidR="003A5F60" w:rsidRDefault="003A5F60">
    <w:pPr>
      <w:pStyle w:val="En-tte"/>
    </w:pPr>
  </w:p>
  <w:p w:rsidR="003A5F60" w:rsidRDefault="003A5F60">
    <w:pPr>
      <w:pStyle w:val="En-tte"/>
    </w:pPr>
  </w:p>
  <w:p w:rsidR="003A5F60" w:rsidRDefault="003A5F60">
    <w:pPr>
      <w:pStyle w:val="En-tte"/>
      <w:rPr>
        <w:sz w:val="12"/>
        <w:szCs w:val="12"/>
      </w:rPr>
    </w:pPr>
  </w:p>
  <w:p w:rsidR="003A5F60" w:rsidRPr="003F15E0" w:rsidRDefault="003A5F60" w:rsidP="003A5F60">
    <w:pPr>
      <w:jc w:val="right"/>
      <w:rPr>
        <w:sz w:val="24"/>
        <w:szCs w:val="40"/>
      </w:rPr>
    </w:pPr>
    <w:r w:rsidRPr="003F15E0">
      <w:rPr>
        <w:sz w:val="24"/>
        <w:szCs w:val="40"/>
      </w:rPr>
      <w:t xml:space="preserve">Paris le </w:t>
    </w:r>
    <w:r w:rsidR="00662DED">
      <w:rPr>
        <w:sz w:val="24"/>
        <w:szCs w:val="40"/>
      </w:rPr>
      <w:t>14</w:t>
    </w:r>
    <w:r w:rsidR="00A02660">
      <w:rPr>
        <w:sz w:val="24"/>
        <w:szCs w:val="40"/>
      </w:rPr>
      <w:t xml:space="preserve"> novembre</w:t>
    </w:r>
    <w:r w:rsidR="009866AC">
      <w:rPr>
        <w:sz w:val="24"/>
        <w:szCs w:val="40"/>
      </w:rPr>
      <w:t xml:space="preserve"> </w:t>
    </w:r>
    <w:r w:rsidRPr="003F15E0">
      <w:rPr>
        <w:sz w:val="24"/>
        <w:szCs w:val="40"/>
      </w:rPr>
      <w:t>201</w:t>
    </w:r>
    <w:r>
      <w:rPr>
        <w:sz w:val="24"/>
        <w:szCs w:val="40"/>
      </w:rPr>
      <w:t>9</w:t>
    </w:r>
  </w:p>
  <w:p w:rsidR="003A5F60" w:rsidRDefault="000139BD">
    <w:pPr>
      <w:pStyle w:val="En-tte"/>
    </w:pPr>
    <w:r>
      <w:rPr>
        <w:noProof/>
        <w:lang w:val="fr-FR" w:eastAsia="fr-FR"/>
      </w:rPr>
      <mc:AlternateContent>
        <mc:Choice Requires="wps">
          <w:drawing>
            <wp:anchor distT="0" distB="0" distL="114300" distR="114300" simplePos="0" relativeHeight="251657216" behindDoc="0" locked="0" layoutInCell="0" allowOverlap="1" wp14:anchorId="703A15A7" wp14:editId="76B7E91A">
              <wp:simplePos x="0" y="0"/>
              <wp:positionH relativeFrom="column">
                <wp:posOffset>300990</wp:posOffset>
              </wp:positionH>
              <wp:positionV relativeFrom="paragraph">
                <wp:posOffset>149225</wp:posOffset>
              </wp:positionV>
              <wp:extent cx="6536690" cy="952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6690"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2C569"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" o:allowincell="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8981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6E87B0E"/>
    <w:multiLevelType w:val="hybridMultilevel"/>
    <w:tmpl w:val="9620BEF0"/>
    <w:lvl w:ilvl="0" w:tplc="369A10E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F7FC3"/>
    <w:multiLevelType w:val="hybridMultilevel"/>
    <w:tmpl w:val="201AF7FE"/>
    <w:lvl w:ilvl="0" w:tplc="27A09C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DF229D"/>
    <w:multiLevelType w:val="hybridMultilevel"/>
    <w:tmpl w:val="59322BF8"/>
    <w:lvl w:ilvl="0" w:tplc="9FAE809C">
      <w:numFmt w:val="bullet"/>
      <w:pStyle w:val="Titre11"/>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02746F"/>
    <w:multiLevelType w:val="hybridMultilevel"/>
    <w:tmpl w:val="7500DFA0"/>
    <w:lvl w:ilvl="0" w:tplc="75607734">
      <w:numFmt w:val="bullet"/>
      <w:lvlText w:val="-"/>
      <w:lvlJc w:val="left"/>
      <w:pPr>
        <w:ind w:left="720" w:hanging="360"/>
      </w:pPr>
      <w:rPr>
        <w:rFonts w:ascii="Times" w:eastAsia="Times New Roman" w:hAnsi="Times"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730399"/>
    <w:multiLevelType w:val="multilevel"/>
    <w:tmpl w:val="356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attachedTemplate r:id="rId1"/>
  <w:defaultTabStop w:val="708"/>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AC"/>
    <w:rsid w:val="000139BD"/>
    <w:rsid w:val="0002558B"/>
    <w:rsid w:val="000908EF"/>
    <w:rsid w:val="000C5289"/>
    <w:rsid w:val="001A1137"/>
    <w:rsid w:val="001A550E"/>
    <w:rsid w:val="00235214"/>
    <w:rsid w:val="00281CE3"/>
    <w:rsid w:val="00286391"/>
    <w:rsid w:val="002E6334"/>
    <w:rsid w:val="00312238"/>
    <w:rsid w:val="0031256E"/>
    <w:rsid w:val="003A5F60"/>
    <w:rsid w:val="00482EC8"/>
    <w:rsid w:val="004A2B15"/>
    <w:rsid w:val="004F3D19"/>
    <w:rsid w:val="0050144C"/>
    <w:rsid w:val="0059336F"/>
    <w:rsid w:val="006049E6"/>
    <w:rsid w:val="00662DED"/>
    <w:rsid w:val="00692CFD"/>
    <w:rsid w:val="006A71EC"/>
    <w:rsid w:val="006C0BAA"/>
    <w:rsid w:val="00720CD3"/>
    <w:rsid w:val="007214E6"/>
    <w:rsid w:val="00834DD2"/>
    <w:rsid w:val="008B59B7"/>
    <w:rsid w:val="00912420"/>
    <w:rsid w:val="009805A8"/>
    <w:rsid w:val="0098648E"/>
    <w:rsid w:val="009866AC"/>
    <w:rsid w:val="009C7CEA"/>
    <w:rsid w:val="009D1452"/>
    <w:rsid w:val="009E2C6D"/>
    <w:rsid w:val="009E34E4"/>
    <w:rsid w:val="00A02660"/>
    <w:rsid w:val="00AB1693"/>
    <w:rsid w:val="00AD460D"/>
    <w:rsid w:val="00B827BC"/>
    <w:rsid w:val="00DA20E7"/>
    <w:rsid w:val="00E519F4"/>
    <w:rsid w:val="00E534D6"/>
    <w:rsid w:val="00E56525"/>
    <w:rsid w:val="00F37B9C"/>
    <w:rsid w:val="00F94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E9C41"/>
  <w14:defaultImageDpi w14:val="32767"/>
  <w15:chartTrackingRefBased/>
  <w15:docId w15:val="{CBEE7FAE-3339-874A-A454-F6D4187A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paragraph" w:styleId="En-tte">
    <w:name w:val="header"/>
    <w:basedOn w:val="Normal"/>
    <w:link w:val="En-tteCar"/>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En-tteCar">
    <w:name w:val="En-tête Car"/>
    <w:link w:val="En-tte"/>
    <w:locked/>
    <w:rPr>
      <w:rFonts w:cs="Times New Roman"/>
      <w:sz w:val="20"/>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val="x-none"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lang w:val="x-none" w:eastAsia="x-none"/>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val="x-none"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styleId="Mentionnonrsolue">
    <w:name w:val="Unresolved Mention"/>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5469">
      <w:bodyDiv w:val="1"/>
      <w:marLeft w:val="0"/>
      <w:marRight w:val="0"/>
      <w:marTop w:val="0"/>
      <w:marBottom w:val="0"/>
      <w:divBdr>
        <w:top w:val="none" w:sz="0" w:space="0" w:color="auto"/>
        <w:left w:val="none" w:sz="0" w:space="0" w:color="auto"/>
        <w:bottom w:val="none" w:sz="0" w:space="0" w:color="auto"/>
        <w:right w:val="none" w:sz="0" w:space="0" w:color="auto"/>
      </w:divBdr>
    </w:div>
    <w:div w:id="847914541">
      <w:bodyDiv w:val="1"/>
      <w:marLeft w:val="0"/>
      <w:marRight w:val="0"/>
      <w:marTop w:val="0"/>
      <w:marBottom w:val="0"/>
      <w:divBdr>
        <w:top w:val="none" w:sz="0" w:space="0" w:color="auto"/>
        <w:left w:val="none" w:sz="0" w:space="0" w:color="auto"/>
        <w:bottom w:val="none" w:sz="0" w:space="0" w:color="auto"/>
        <w:right w:val="none" w:sz="0" w:space="0" w:color="auto"/>
      </w:divBdr>
    </w:div>
    <w:div w:id="870462719">
      <w:bodyDiv w:val="1"/>
      <w:marLeft w:val="0"/>
      <w:marRight w:val="0"/>
      <w:marTop w:val="0"/>
      <w:marBottom w:val="0"/>
      <w:divBdr>
        <w:top w:val="none" w:sz="0" w:space="0" w:color="auto"/>
        <w:left w:val="none" w:sz="0" w:space="0" w:color="auto"/>
        <w:bottom w:val="none" w:sz="0" w:space="0" w:color="auto"/>
        <w:right w:val="none" w:sz="0" w:space="0" w:color="auto"/>
      </w:divBdr>
      <w:divsChild>
        <w:div w:id="74403858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71927597">
              <w:marLeft w:val="0"/>
              <w:marRight w:val="0"/>
              <w:marTop w:val="0"/>
              <w:marBottom w:val="0"/>
              <w:divBdr>
                <w:top w:val="none" w:sz="0" w:space="0" w:color="auto"/>
                <w:left w:val="none" w:sz="0" w:space="0" w:color="auto"/>
                <w:bottom w:val="none" w:sz="0" w:space="0" w:color="auto"/>
                <w:right w:val="none" w:sz="0" w:space="0" w:color="auto"/>
              </w:divBdr>
              <w:divsChild>
                <w:div w:id="1113473762">
                  <w:marLeft w:val="0"/>
                  <w:marRight w:val="0"/>
                  <w:marTop w:val="0"/>
                  <w:marBottom w:val="0"/>
                  <w:divBdr>
                    <w:top w:val="none" w:sz="0" w:space="0" w:color="auto"/>
                    <w:left w:val="none" w:sz="0" w:space="0" w:color="auto"/>
                    <w:bottom w:val="none" w:sz="0" w:space="0" w:color="auto"/>
                    <w:right w:val="none" w:sz="0" w:space="0" w:color="auto"/>
                  </w:divBdr>
                  <w:divsChild>
                    <w:div w:id="633675843">
                      <w:marLeft w:val="0"/>
                      <w:marRight w:val="0"/>
                      <w:marTop w:val="0"/>
                      <w:marBottom w:val="0"/>
                      <w:divBdr>
                        <w:top w:val="none" w:sz="0" w:space="0" w:color="auto"/>
                        <w:left w:val="none" w:sz="0" w:space="0" w:color="auto"/>
                        <w:bottom w:val="none" w:sz="0" w:space="0" w:color="auto"/>
                        <w:right w:val="none" w:sz="0" w:space="0" w:color="auto"/>
                      </w:divBdr>
                      <w:divsChild>
                        <w:div w:id="9165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0490">
      <w:bodyDiv w:val="1"/>
      <w:marLeft w:val="0"/>
      <w:marRight w:val="0"/>
      <w:marTop w:val="0"/>
      <w:marBottom w:val="0"/>
      <w:divBdr>
        <w:top w:val="none" w:sz="0" w:space="0" w:color="auto"/>
        <w:left w:val="none" w:sz="0" w:space="0" w:color="auto"/>
        <w:bottom w:val="none" w:sz="0" w:space="0" w:color="auto"/>
        <w:right w:val="none" w:sz="0" w:space="0" w:color="auto"/>
      </w:divBdr>
    </w:div>
    <w:div w:id="1219518071">
      <w:bodyDiv w:val="1"/>
      <w:marLeft w:val="0"/>
      <w:marRight w:val="0"/>
      <w:marTop w:val="0"/>
      <w:marBottom w:val="0"/>
      <w:divBdr>
        <w:top w:val="none" w:sz="0" w:space="0" w:color="auto"/>
        <w:left w:val="none" w:sz="0" w:space="0" w:color="auto"/>
        <w:bottom w:val="none" w:sz="0" w:space="0" w:color="auto"/>
        <w:right w:val="none" w:sz="0" w:space="0" w:color="auto"/>
      </w:divBdr>
      <w:divsChild>
        <w:div w:id="28485148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22186643">
              <w:marLeft w:val="0"/>
              <w:marRight w:val="0"/>
              <w:marTop w:val="0"/>
              <w:marBottom w:val="0"/>
              <w:divBdr>
                <w:top w:val="none" w:sz="0" w:space="0" w:color="auto"/>
                <w:left w:val="none" w:sz="0" w:space="0" w:color="auto"/>
                <w:bottom w:val="none" w:sz="0" w:space="0" w:color="auto"/>
                <w:right w:val="none" w:sz="0" w:space="0" w:color="auto"/>
              </w:divBdr>
              <w:divsChild>
                <w:div w:id="848330106">
                  <w:marLeft w:val="0"/>
                  <w:marRight w:val="0"/>
                  <w:marTop w:val="0"/>
                  <w:marBottom w:val="0"/>
                  <w:divBdr>
                    <w:top w:val="none" w:sz="0" w:space="0" w:color="auto"/>
                    <w:left w:val="none" w:sz="0" w:space="0" w:color="auto"/>
                    <w:bottom w:val="none" w:sz="0" w:space="0" w:color="auto"/>
                    <w:right w:val="none" w:sz="0" w:space="0" w:color="auto"/>
                  </w:divBdr>
                  <w:divsChild>
                    <w:div w:id="2090929891">
                      <w:marLeft w:val="0"/>
                      <w:marRight w:val="0"/>
                      <w:marTop w:val="0"/>
                      <w:marBottom w:val="0"/>
                      <w:divBdr>
                        <w:top w:val="none" w:sz="0" w:space="0" w:color="auto"/>
                        <w:left w:val="none" w:sz="0" w:space="0" w:color="auto"/>
                        <w:bottom w:val="none" w:sz="0" w:space="0" w:color="auto"/>
                        <w:right w:val="none" w:sz="0" w:space="0" w:color="auto"/>
                      </w:divBdr>
                      <w:divsChild>
                        <w:div w:id="541216119">
                          <w:marLeft w:val="0"/>
                          <w:marRight w:val="0"/>
                          <w:marTop w:val="0"/>
                          <w:marBottom w:val="0"/>
                          <w:divBdr>
                            <w:top w:val="none" w:sz="0" w:space="0" w:color="auto"/>
                            <w:left w:val="none" w:sz="0" w:space="0" w:color="auto"/>
                            <w:bottom w:val="none" w:sz="0" w:space="0" w:color="auto"/>
                            <w:right w:val="none" w:sz="0" w:space="0" w:color="auto"/>
                          </w:divBdr>
                          <w:divsChild>
                            <w:div w:id="12276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982546">
      <w:bodyDiv w:val="1"/>
      <w:marLeft w:val="0"/>
      <w:marRight w:val="0"/>
      <w:marTop w:val="0"/>
      <w:marBottom w:val="0"/>
      <w:divBdr>
        <w:top w:val="none" w:sz="0" w:space="0" w:color="auto"/>
        <w:left w:val="none" w:sz="0" w:space="0" w:color="auto"/>
        <w:bottom w:val="none" w:sz="0" w:space="0" w:color="auto"/>
        <w:right w:val="none" w:sz="0" w:space="0" w:color="auto"/>
      </w:divBdr>
    </w:div>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307929591">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671984737">
      <w:bodyDiv w:val="1"/>
      <w:marLeft w:val="0"/>
      <w:marRight w:val="0"/>
      <w:marTop w:val="0"/>
      <w:marBottom w:val="0"/>
      <w:divBdr>
        <w:top w:val="none" w:sz="0" w:space="0" w:color="auto"/>
        <w:left w:val="none" w:sz="0" w:space="0" w:color="auto"/>
        <w:bottom w:val="none" w:sz="0" w:space="0" w:color="auto"/>
        <w:right w:val="none" w:sz="0" w:space="0" w:color="auto"/>
      </w:divBdr>
      <w:divsChild>
        <w:div w:id="129178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72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romebonnard/Desktop/SOLIDAIRES/maquette%20communique&#769;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maquette communiqués.dotx</Template>
  <TotalTime>4</TotalTime>
  <Pages>2</Pages>
  <Words>636</Words>
  <Characters>3503</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COMMUNIQUE</vt:lpstr>
      <vt:lpstr>COMMUNIQUE</vt:lpstr>
    </vt:vector>
  </TitlesOfParts>
  <Company/>
  <LinksUpToDate>false</LinksUpToDate>
  <CharactersWithSpaces>4131</CharactersWithSpaces>
  <SharedDoc>false</SharedDoc>
  <HLinks>
    <vt:vector size="12" baseType="variant">
      <vt:variant>
        <vt:i4>4915301</vt:i4>
      </vt:variant>
      <vt:variant>
        <vt:i4>4232</vt:i4>
      </vt:variant>
      <vt:variant>
        <vt:i4>1025</vt:i4>
      </vt:variant>
      <vt:variant>
        <vt:i4>1</vt:i4>
      </vt:variant>
      <vt:variant>
        <vt:lpwstr>qrc_solidaires</vt:lpwstr>
      </vt:variant>
      <vt:variant>
        <vt:lpwstr/>
      </vt:variant>
      <vt:variant>
        <vt:i4>458840</vt:i4>
      </vt:variant>
      <vt:variant>
        <vt:i4>-1</vt:i4>
      </vt:variant>
      <vt:variant>
        <vt:i4>2051</vt:i4>
      </vt:variant>
      <vt:variant>
        <vt:i4>1</vt:i4>
      </vt:variant>
      <vt:variant>
        <vt:lpwstr>logo_site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subject/>
  <dc:creator>Microsoft Office User</dc:creator>
  <cp:keywords/>
  <cp:lastModifiedBy>Microsoft Office User</cp:lastModifiedBy>
  <cp:revision>3</cp:revision>
  <cp:lastPrinted>2019-11-14T12:58:00Z</cp:lastPrinted>
  <dcterms:created xsi:type="dcterms:W3CDTF">2019-11-14T12:58:00Z</dcterms:created>
  <dcterms:modified xsi:type="dcterms:W3CDTF">2019-11-14T13:00:00Z</dcterms:modified>
</cp:coreProperties>
</file>